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bookmarkStart w:id="12" w:name="_GoBack"/>
      <w:r>
        <w:rPr>
          <w:rFonts w:ascii="宋体" w:hAnsi="宋体" w:eastAsia="宋体"/>
          <w:b/>
          <w:color w:val="000000"/>
          <w:sz w:val="72"/>
        </w:rPr>
        <w:t>2020年唐山市部门预算（草案）</w:t>
      </w:r>
    </w:p>
    <w:bookmarkEnd w:id="12"/>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唐山市福利彩票发行管理中心</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唐山市福利彩票发行管理中心编制</w:t>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"_Toc28732595" </w:instrText>
      </w:r>
      <w:r>
        <w:fldChar w:fldCharType="separate"/>
      </w:r>
      <w:r>
        <w:rPr>
          <w:rStyle w:val="9"/>
          <w:rFonts w:hint="eastAsia" w:ascii="宋体" w:hAnsi="宋体" w:eastAsia="宋体"/>
          <w:b/>
          <w:color w:val="000000"/>
          <w:sz w:val="32"/>
          <w:u w:val="none"/>
        </w:rPr>
        <w:t>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概</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_Toc28732595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"_Toc28732596" </w:instrText>
      </w:r>
      <w:r>
        <w:fldChar w:fldCharType="separate"/>
      </w:r>
      <w:r>
        <w:rPr>
          <w:rStyle w:val="9"/>
          <w:rFonts w:hint="eastAsia" w:ascii="宋体" w:hAnsi="宋体" w:eastAsia="宋体"/>
          <w:b/>
          <w:color w:val="000000"/>
          <w:sz w:val="32"/>
          <w:u w:val="none"/>
        </w:rPr>
        <w:t>部门收支预算总表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_Toc28732596 \h </w:instrText>
      </w:r>
      <w:r>
        <w:rPr>
          <w:rFonts w:ascii="宋体" w:hAnsi="宋体" w:eastAsia="宋体"/>
          <w:b/>
          <w:color w:val="000000"/>
          <w:sz w:val="32"/>
        </w:rPr>
        <w:fldChar w:fldCharType="separate"/>
      </w:r>
      <w:r>
        <w:rPr>
          <w:rFonts w:ascii="宋体" w:hAnsi="宋体" w:eastAsia="宋体"/>
          <w:b/>
          <w:color w:val="000000"/>
          <w:sz w:val="32"/>
        </w:rPr>
        <w:t>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"_Toc28732597" </w:instrText>
      </w:r>
      <w:r>
        <w:fldChar w:fldCharType="separate"/>
      </w:r>
      <w:r>
        <w:rPr>
          <w:rStyle w:val="9"/>
          <w:rFonts w:hint="eastAsia" w:ascii="宋体" w:hAnsi="宋体" w:eastAsia="宋体"/>
          <w:b/>
          <w:color w:val="000000"/>
          <w:sz w:val="32"/>
          <w:u w:val="none"/>
        </w:rPr>
        <w:t>部门基本支出预算表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_Toc28732597 \h </w:instrText>
      </w:r>
      <w:r>
        <w:rPr>
          <w:rFonts w:ascii="宋体" w:hAnsi="宋体" w:eastAsia="宋体"/>
          <w:b/>
          <w:color w:val="000000"/>
          <w:sz w:val="32"/>
        </w:rPr>
        <w:fldChar w:fldCharType="separate"/>
      </w:r>
      <w:r>
        <w:rPr>
          <w:rFonts w:ascii="宋体" w:hAnsi="宋体" w:eastAsia="宋体"/>
          <w:b/>
          <w:color w:val="000000"/>
          <w:sz w:val="32"/>
        </w:rPr>
        <w:t>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"_Toc28732598" </w:instrText>
      </w:r>
      <w:r>
        <w:fldChar w:fldCharType="separate"/>
      </w:r>
      <w:r>
        <w:rPr>
          <w:rStyle w:val="9"/>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_Toc28732598 \h </w:instrText>
      </w:r>
      <w:r>
        <w:rPr>
          <w:rFonts w:ascii="宋体" w:hAnsi="宋体" w:eastAsia="宋体"/>
          <w:b/>
          <w:color w:val="000000"/>
          <w:sz w:val="32"/>
        </w:rPr>
        <w:fldChar w:fldCharType="separate"/>
      </w:r>
      <w:r>
        <w:rPr>
          <w:rFonts w:ascii="宋体" w:hAnsi="宋体" w:eastAsia="宋体"/>
          <w:b/>
          <w:color w:val="000000"/>
          <w:sz w:val="32"/>
        </w:rPr>
        <w:t>11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"_Toc28732599" </w:instrText>
      </w:r>
      <w:r>
        <w:fldChar w:fldCharType="separate"/>
      </w:r>
      <w:r>
        <w:rPr>
          <w:rStyle w:val="9"/>
          <w:rFonts w:hint="eastAsia" w:ascii="宋体" w:hAnsi="宋体" w:eastAsia="宋体"/>
          <w:b/>
          <w:color w:val="000000"/>
          <w:sz w:val="32"/>
          <w:u w:val="none"/>
        </w:rPr>
        <w:t>部门政府采购预算支出一览表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_Toc28732599 \h </w:instrText>
      </w:r>
      <w:r>
        <w:rPr>
          <w:rFonts w:ascii="宋体" w:hAnsi="宋体" w:eastAsia="宋体"/>
          <w:b/>
          <w:color w:val="000000"/>
          <w:sz w:val="32"/>
        </w:rPr>
        <w:fldChar w:fldCharType="separate"/>
      </w:r>
      <w:r>
        <w:rPr>
          <w:rFonts w:ascii="宋体" w:hAnsi="宋体" w:eastAsia="宋体"/>
          <w:b/>
          <w:color w:val="000000"/>
          <w:sz w:val="32"/>
        </w:rPr>
        <w:t>12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"_Toc28732600" </w:instrText>
      </w:r>
      <w:r>
        <w:fldChar w:fldCharType="separate"/>
      </w:r>
      <w:r>
        <w:rPr>
          <w:rStyle w:val="9"/>
          <w:rFonts w:hint="eastAsia" w:ascii="宋体" w:hAnsi="宋体" w:eastAsia="宋体"/>
          <w:b/>
          <w:color w:val="000000"/>
          <w:sz w:val="32"/>
          <w:u w:val="none"/>
        </w:rPr>
        <w:t>部门组织政府非税收入预算明细表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_Toc28732600 \h </w:instrText>
      </w:r>
      <w:r>
        <w:rPr>
          <w:rFonts w:ascii="宋体" w:hAnsi="宋体" w:eastAsia="宋体"/>
          <w:b/>
          <w:color w:val="000000"/>
          <w:sz w:val="32"/>
        </w:rPr>
        <w:fldChar w:fldCharType="separate"/>
      </w:r>
      <w:r>
        <w:rPr>
          <w:rFonts w:ascii="宋体" w:hAnsi="宋体" w:eastAsia="宋体"/>
          <w:b/>
          <w:color w:val="000000"/>
          <w:sz w:val="32"/>
        </w:rPr>
        <w:t>13</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"_Toc28732601" </w:instrText>
      </w:r>
      <w:r>
        <w:fldChar w:fldCharType="separate"/>
      </w:r>
      <w:r>
        <w:rPr>
          <w:rStyle w:val="9"/>
          <w:rFonts w:hint="eastAsia" w:ascii="宋体" w:hAnsi="宋体" w:eastAsia="宋体"/>
          <w:b/>
          <w:color w:val="000000"/>
          <w:sz w:val="32"/>
          <w:u w:val="none"/>
        </w:rPr>
        <w:t>部门基本情况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_Toc28732601 \h </w:instrText>
      </w:r>
      <w:r>
        <w:rPr>
          <w:rFonts w:ascii="宋体" w:hAnsi="宋体" w:eastAsia="宋体"/>
          <w:b/>
          <w:color w:val="000000"/>
          <w:sz w:val="32"/>
        </w:rPr>
        <w:fldChar w:fldCharType="separate"/>
      </w:r>
      <w:r>
        <w:rPr>
          <w:rFonts w:ascii="宋体" w:hAnsi="宋体" w:eastAsia="宋体"/>
          <w:b/>
          <w:color w:val="000000"/>
          <w:sz w:val="32"/>
        </w:rPr>
        <w:t>1</w:t>
      </w:r>
      <w:r>
        <w:rPr>
          <w:rFonts w:hint="eastAsia" w:ascii="宋体" w:hAnsi="宋体" w:eastAsia="宋体"/>
          <w:b/>
          <w:color w:val="000000"/>
          <w:sz w:val="32"/>
          <w:lang w:val="en-US" w:eastAsia="zh-CN"/>
        </w:rPr>
        <w:t>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"_Toc28732602" </w:instrText>
      </w:r>
      <w:r>
        <w:fldChar w:fldCharType="separate"/>
      </w:r>
      <w:r>
        <w:rPr>
          <w:rStyle w:val="9"/>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_Toc28732602 \h </w:instrText>
      </w:r>
      <w:r>
        <w:rPr>
          <w:rFonts w:ascii="宋体" w:hAnsi="宋体" w:eastAsia="宋体"/>
          <w:b/>
          <w:color w:val="000000"/>
          <w:sz w:val="32"/>
        </w:rPr>
        <w:fldChar w:fldCharType="separate"/>
      </w:r>
      <w:r>
        <w:rPr>
          <w:rFonts w:ascii="宋体" w:hAnsi="宋体" w:eastAsia="宋体"/>
          <w:b/>
          <w:color w:val="000000"/>
          <w:sz w:val="32"/>
        </w:rPr>
        <w:t>1</w:t>
      </w:r>
      <w:r>
        <w:rPr>
          <w:rFonts w:hint="eastAsia" w:ascii="宋体" w:hAnsi="宋体" w:eastAsia="宋体"/>
          <w:b/>
          <w:color w:val="000000"/>
          <w:sz w:val="32"/>
          <w:lang w:val="en-US" w:eastAsia="zh-CN"/>
        </w:rPr>
        <w:t>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"_Toc28732603" </w:instrText>
      </w:r>
      <w:r>
        <w:fldChar w:fldCharType="separate"/>
      </w:r>
      <w:r>
        <w:rPr>
          <w:rStyle w:val="9"/>
          <w:rFonts w:hint="eastAsia" w:ascii="宋体" w:hAnsi="宋体" w:eastAsia="宋体"/>
          <w:b/>
          <w:color w:val="000000"/>
          <w:sz w:val="32"/>
          <w:u w:val="none"/>
        </w:rPr>
        <w:t>一、唐山市福利彩票发行管理中心收支预算安排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_Toc28732603 \h </w:instrText>
      </w:r>
      <w:r>
        <w:rPr>
          <w:rFonts w:ascii="宋体" w:hAnsi="宋体" w:eastAsia="宋体"/>
          <w:b/>
          <w:color w:val="000000"/>
          <w:sz w:val="32"/>
        </w:rPr>
        <w:fldChar w:fldCharType="separate"/>
      </w:r>
      <w:r>
        <w:rPr>
          <w:rFonts w:ascii="宋体" w:hAnsi="宋体" w:eastAsia="宋体"/>
          <w:b/>
          <w:color w:val="000000"/>
          <w:sz w:val="32"/>
        </w:rPr>
        <w:t>1</w:t>
      </w:r>
      <w:r>
        <w:rPr>
          <w:rFonts w:hint="eastAsia" w:ascii="宋体" w:hAnsi="宋体" w:eastAsia="宋体"/>
          <w:b/>
          <w:color w:val="000000"/>
          <w:sz w:val="32"/>
          <w:lang w:val="en-US" w:eastAsia="zh-CN"/>
        </w:rPr>
        <w:t>6</w:t>
      </w:r>
      <w:r>
        <w:rPr>
          <w:rFonts w:ascii="宋体" w:hAnsi="宋体" w:eastAsia="宋体"/>
          <w:b/>
          <w:color w:val="000000"/>
          <w:sz w:val="32"/>
        </w:rPr>
        <w:fldChar w:fldCharType="end"/>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28732595"/>
      <w:r>
        <w:t>部 门 概 况</w:t>
      </w:r>
      <w:bookmarkEnd w:id="0"/>
    </w:p>
    <w:p>
      <w:pPr>
        <w:jc w:val="left"/>
        <w:rPr>
          <w:rFonts w:ascii="宋体" w:hAnsi="宋体" w:eastAsia="宋体"/>
          <w:b/>
          <w:color w:val="000000"/>
          <w:sz w:val="28"/>
        </w:rPr>
      </w:pPr>
      <w:r>
        <w:rPr>
          <w:rFonts w:ascii="宋体" w:hAnsi="宋体" w:eastAsia="宋体"/>
          <w:b/>
          <w:color w:val="000000"/>
          <w:sz w:val="28"/>
        </w:rPr>
        <w:t>一、唐山市福利彩票发行管理中心主要职责</w:t>
      </w:r>
    </w:p>
    <w:p>
      <w:pPr>
        <w:jc w:val="left"/>
        <w:rPr>
          <w:rFonts w:ascii="仿宋" w:hAnsi="宋体" w:eastAsia="仿宋"/>
          <w:color w:val="000000"/>
          <w:sz w:val="28"/>
        </w:rPr>
      </w:pPr>
      <w:r>
        <w:rPr>
          <w:rFonts w:ascii="仿宋" w:hAnsi="宋体" w:eastAsia="仿宋"/>
          <w:color w:val="000000"/>
          <w:sz w:val="28"/>
        </w:rPr>
        <w:t>根据《唐山市福利彩票发行管理中心职能配置、内设机构和人员编制方案》规定，唐山市福利彩票发行管理中心的主要职责是：</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根据《唐山市机构编制委员会办公室》唐机编办[1997]第31号文件，我单位主要职责是：制定全市有奖募捐工作的规划、办法、方案；组织全市福利彩票的发行和销售；对各县（市）区有奖募捐工作进行监督、管理；负责全市有奖募捐财务管理和财务审计工作。</w:t>
      </w:r>
    </w:p>
    <w:p>
      <w:pPr>
        <w:rPr>
          <w:rFonts w:ascii="Calibri" w:hAnsi="Calibri" w:eastAsia="宋体" w:cs="Times New Roman"/>
          <w:szCs w:val="21"/>
        </w:rPr>
      </w:pPr>
    </w:p>
    <w:p>
      <w:pPr>
        <w:jc w:val="left"/>
        <w:rPr>
          <w:rFonts w:ascii="宋体" w:hAnsi="宋体" w:eastAsia="宋体"/>
          <w:b/>
          <w:color w:val="000000"/>
          <w:sz w:val="28"/>
        </w:rPr>
      </w:pPr>
      <w:r>
        <w:rPr>
          <w:rFonts w:ascii="宋体" w:hAnsi="宋体" w:eastAsia="宋体"/>
          <w:b/>
          <w:color w:val="000000"/>
          <w:sz w:val="28"/>
        </w:rPr>
        <w:t>二、唐山市福利彩票发行管理中心2020年主要任务及目标规划</w:t>
      </w:r>
    </w:p>
    <w:p>
      <w:pPr>
        <w:jc w:val="left"/>
        <w:rPr>
          <w:rFonts w:ascii="仿宋" w:hAnsi="仿宋" w:eastAsia="仿宋"/>
          <w:color w:val="000000"/>
          <w:sz w:val="28"/>
        </w:rPr>
      </w:pPr>
      <w:r>
        <w:rPr>
          <w:rFonts w:ascii="仿宋" w:hAnsi="仿宋" w:eastAsia="仿宋"/>
          <w:color w:val="000000"/>
          <w:sz w:val="28"/>
        </w:rPr>
        <w:t>2020年，唐山市福利彩票发行管理中心将重点做好以下工作：</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1、拓宽福利彩票销售渠道，增设农村销售网点。</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2、在经济状况好、市场条件成熟的县（市）区开设新的中福在线销售厅。</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3、对优秀单彩站进行形像建设，提升整体形象。</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4、完善投注站奖惩机制，加大对彩民回馈投入。</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5、加强投入站管理，提升投注站服务水平和单机销售量。</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6、加强福彩公益性和福彩新品种趣味性宣传，扩大社会影响力。</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7、全市福彩销售额达到3.5亿元。</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8、组织“送寒门学子进校园”爱心助学公益活动，对困难家庭考入一本的大学新生进行救助。</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9、加强对全市销售站的监督检查，及时解决各种完全隐患。</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10、对全市所有投注站从业人员进行专业营销培训，提高销售人员业务水平。</w:t>
      </w:r>
    </w:p>
    <w:p>
      <w:pPr>
        <w:rPr>
          <w:rFonts w:ascii="Calibri" w:hAnsi="Calibri" w:eastAsia="宋体" w:cs="Times New Roman"/>
        </w:rPr>
      </w:pPr>
    </w:p>
    <w:p>
      <w:pPr>
        <w:jc w:val="left"/>
        <w:rPr>
          <w:rFonts w:ascii="宋体" w:hAnsi="宋体" w:eastAsia="宋体"/>
          <w:b/>
          <w:color w:val="000000"/>
          <w:sz w:val="28"/>
        </w:rPr>
      </w:pPr>
      <w:r>
        <w:rPr>
          <w:rFonts w:ascii="宋体" w:hAnsi="宋体" w:eastAsia="宋体"/>
          <w:b/>
          <w:color w:val="000000"/>
          <w:sz w:val="28"/>
        </w:rPr>
        <w:t>三、唐山市福利彩票发行管理中心目标规划及保障措施</w:t>
      </w:r>
    </w:p>
    <w:p>
      <w:pPr>
        <w:ind w:firstLine="306" w:firstLineChars="146"/>
        <w:rPr>
          <w:rFonts w:ascii="宋体" w:hAnsi="宋体" w:eastAsia="宋体" w:cs="Times New Roman"/>
          <w:szCs w:val="21"/>
        </w:rPr>
      </w:pPr>
      <w:r>
        <w:rPr>
          <w:rFonts w:hint="eastAsia" w:ascii="宋体" w:hAnsi="宋体" w:eastAsia="宋体" w:cs="Times New Roman"/>
          <w:szCs w:val="21"/>
        </w:rPr>
        <w:t>1、增强管理工作，提升服务质量，推进队伍建设。</w:t>
      </w:r>
    </w:p>
    <w:p>
      <w:pPr>
        <w:ind w:firstLine="315" w:firstLineChars="150"/>
        <w:rPr>
          <w:rFonts w:ascii="宋体" w:hAnsi="宋体" w:eastAsia="宋体" w:cs="Times New Roman"/>
          <w:szCs w:val="21"/>
        </w:rPr>
      </w:pPr>
      <w:r>
        <w:rPr>
          <w:rFonts w:hint="eastAsia" w:ascii="宋体" w:hAnsi="宋体" w:eastAsia="宋体" w:cs="Times New Roman"/>
          <w:szCs w:val="21"/>
        </w:rPr>
        <w:t>在福彩发行管理中加大工作力度，认真学习各项规章制度，注重规范管理，以提升执行力为核心，实施目标责任管理。紧紧围绕全年工作目标进一步提高工作人员的基本素质和服务水平。优化系统监管环境，建立完善以科学民主的决策机制。组织知识技能培训，抓好专业技术队伍建设，夯实基础，强化队伍，实现福彩事业的持续发展。</w:t>
      </w:r>
    </w:p>
    <w:p>
      <w:pPr>
        <w:ind w:firstLine="210" w:firstLineChars="100"/>
        <w:rPr>
          <w:rFonts w:ascii="宋体" w:hAnsi="宋体" w:eastAsia="宋体" w:cs="Times New Roman"/>
          <w:szCs w:val="21"/>
        </w:rPr>
      </w:pPr>
      <w:r>
        <w:rPr>
          <w:rFonts w:hint="eastAsia" w:ascii="宋体" w:hAnsi="宋体" w:eastAsia="宋体" w:cs="Times New Roman"/>
          <w:szCs w:val="21"/>
        </w:rPr>
        <w:t>2、拓展发行规模，完善销售模式，保障安全运行。</w:t>
      </w:r>
    </w:p>
    <w:p>
      <w:pPr>
        <w:ind w:firstLine="420" w:firstLineChars="200"/>
        <w:rPr>
          <w:rFonts w:ascii="宋体" w:hAnsi="宋体" w:eastAsia="宋体" w:cs="Times New Roman"/>
          <w:szCs w:val="21"/>
        </w:rPr>
      </w:pPr>
      <w:r>
        <w:rPr>
          <w:rFonts w:hint="eastAsia" w:ascii="宋体" w:hAnsi="宋体" w:eastAsia="宋体" w:cs="Times New Roman"/>
          <w:szCs w:val="21"/>
        </w:rPr>
        <w:t>我办高度重视福利彩票发行管理工作，对电脑票、即开票、中福在线的发行销售进行统筹规划，始终把福利彩票发行管理工作作为工作重点抓住不放，预计全年可销售福利彩票</w:t>
      </w:r>
      <w:r>
        <w:rPr>
          <w:rFonts w:hint="eastAsia" w:ascii="宋体" w:hAnsi="宋体" w:eastAsia="宋体" w:cs="Times New Roman"/>
          <w:szCs w:val="21"/>
          <w:lang w:val="en-US" w:eastAsia="zh-CN"/>
        </w:rPr>
        <w:t>3.5</w:t>
      </w:r>
      <w:r>
        <w:rPr>
          <w:rFonts w:hint="eastAsia" w:ascii="宋体" w:hAnsi="宋体" w:eastAsia="宋体" w:cs="Times New Roman"/>
          <w:szCs w:val="21"/>
        </w:rPr>
        <w:t>亿元。</w:t>
      </w:r>
    </w:p>
    <w:p>
      <w:pPr>
        <w:ind w:firstLine="420" w:firstLineChars="200"/>
        <w:rPr>
          <w:rFonts w:ascii="宋体" w:hAnsi="宋体" w:eastAsia="宋体" w:cs="Times New Roman"/>
          <w:szCs w:val="21"/>
        </w:rPr>
      </w:pPr>
      <w:r>
        <w:rPr>
          <w:rFonts w:hint="eastAsia" w:ascii="宋体" w:hAnsi="宋体" w:eastAsia="宋体" w:cs="Times New Roman"/>
          <w:szCs w:val="21"/>
        </w:rPr>
        <w:t>按照省中心的安排，目前我市所有投注机已经全部更换为F03投注机，新投注机的更换，增强了技术优势，强化福彩的竞争力。按照市场发展“科学规划、合理布局”为总要求，合理调整现有的福彩发行资源，适当扩大农村站点规模，电脑票销售站点增至近1000个，扩大市场占有率，保证了福彩发行工作的顺利进行和销售系统的安全运转。</w:t>
      </w:r>
    </w:p>
    <w:p>
      <w:pPr>
        <w:ind w:firstLine="210" w:firstLineChars="100"/>
        <w:rPr>
          <w:rFonts w:ascii="宋体" w:hAnsi="宋体" w:eastAsia="宋体" w:cs="Times New Roman"/>
          <w:szCs w:val="21"/>
        </w:rPr>
      </w:pPr>
      <w:r>
        <w:rPr>
          <w:rFonts w:hint="eastAsia" w:ascii="宋体" w:hAnsi="宋体" w:eastAsia="宋体" w:cs="Times New Roman"/>
          <w:szCs w:val="21"/>
        </w:rPr>
        <w:t>3、加大培训力度，提高站点形象，实现稳步发展。</w:t>
      </w:r>
    </w:p>
    <w:p>
      <w:pPr>
        <w:ind w:firstLine="417" w:firstLineChars="199"/>
        <w:rPr>
          <w:rFonts w:ascii="宋体" w:hAnsi="宋体" w:eastAsia="宋体" w:cs="Times New Roman"/>
          <w:szCs w:val="21"/>
        </w:rPr>
      </w:pPr>
      <w:r>
        <w:rPr>
          <w:rFonts w:hint="eastAsia" w:ascii="宋体" w:hAnsi="宋体" w:eastAsia="宋体" w:cs="Times New Roman"/>
          <w:szCs w:val="21"/>
        </w:rPr>
        <w:t>强化销售员队伍建设和从业人员的培训工作，加强站点培训工作，提高销售队伍素质。根据省中心的要求，定期对电脑票销售人员进行相关业务的培训。预计</w:t>
      </w:r>
      <w:r>
        <w:rPr>
          <w:rFonts w:ascii="宋体" w:hAnsi="宋体" w:eastAsia="宋体" w:cs="Times New Roman"/>
          <w:szCs w:val="21"/>
        </w:rPr>
        <w:t>5</w:t>
      </w:r>
      <w:r>
        <w:rPr>
          <w:rFonts w:hint="eastAsia" w:ascii="宋体" w:hAnsi="宋体" w:eastAsia="宋体" w:cs="Times New Roman"/>
          <w:szCs w:val="21"/>
        </w:rPr>
        <w:t>月中旬我市请省中心的专业讲师对所有投注站进行专业营销方面的培训，不仅从理</w:t>
      </w:r>
    </w:p>
    <w:p>
      <w:pPr>
        <w:ind w:firstLine="417" w:firstLineChars="199"/>
        <w:rPr>
          <w:rFonts w:ascii="宋体" w:hAnsi="宋体" w:eastAsia="宋体" w:cs="Times New Roman"/>
          <w:szCs w:val="21"/>
        </w:rPr>
      </w:pPr>
      <w:r>
        <w:rPr>
          <w:rFonts w:hint="eastAsia" w:ascii="宋体" w:hAnsi="宋体" w:eastAsia="宋体" w:cs="Times New Roman"/>
          <w:szCs w:val="21"/>
        </w:rPr>
        <w:t>论上的营销知识，也从实际的营销策略入手，使销售人员提高了业务水平。</w:t>
      </w:r>
    </w:p>
    <w:p>
      <w:pPr>
        <w:ind w:firstLine="105" w:firstLineChars="50"/>
        <w:rPr>
          <w:rFonts w:ascii="宋体" w:hAnsi="宋体" w:eastAsia="宋体" w:cs="Times New Roman"/>
          <w:szCs w:val="21"/>
        </w:rPr>
      </w:pPr>
      <w:r>
        <w:rPr>
          <w:rFonts w:hint="eastAsia" w:ascii="宋体" w:hAnsi="宋体" w:eastAsia="宋体" w:cs="Times New Roman"/>
          <w:szCs w:val="21"/>
        </w:rPr>
        <w:t>4、完善发行机制，落实奖励制度，促进市场活力。</w:t>
      </w:r>
    </w:p>
    <w:p>
      <w:pPr>
        <w:ind w:firstLine="420" w:firstLineChars="200"/>
        <w:rPr>
          <w:rFonts w:ascii="宋体" w:hAnsi="宋体" w:eastAsia="宋体" w:cs="Times New Roman"/>
          <w:szCs w:val="21"/>
        </w:rPr>
      </w:pPr>
      <w:r>
        <w:rPr>
          <w:rFonts w:hint="eastAsia" w:ascii="宋体" w:hAnsi="宋体" w:eastAsia="宋体" w:cs="Times New Roman"/>
          <w:szCs w:val="21"/>
        </w:rPr>
        <w:t>严格按照省中心下发的管理要求，对巡查服务内容进行监督和督促。巡查站在我市每一县区设立了市场管理员，做到了物料及时发放；对全市所有站点定期巡查，对新建站点及时培训指导, 更好的为彩民及投注站服务起到很好的促进作用。</w:t>
      </w:r>
    </w:p>
    <w:p>
      <w:pPr>
        <w:ind w:firstLine="102" w:firstLineChars="49"/>
        <w:rPr>
          <w:rFonts w:ascii="宋体" w:hAnsi="宋体" w:eastAsia="宋体" w:cs="Times New Roman"/>
          <w:szCs w:val="21"/>
        </w:rPr>
      </w:pPr>
      <w:r>
        <w:rPr>
          <w:rFonts w:hint="eastAsia" w:ascii="宋体" w:hAnsi="宋体" w:eastAsia="宋体" w:cs="Times New Roman"/>
          <w:szCs w:val="21"/>
        </w:rPr>
        <w:t>5、搞好宣传工作，做好公益项目，提升社会认知。</w:t>
      </w:r>
    </w:p>
    <w:p>
      <w:pPr>
        <w:ind w:firstLine="525" w:firstLineChars="250"/>
        <w:rPr>
          <w:rFonts w:ascii="宋体" w:hAnsi="宋体" w:eastAsia="宋体" w:cs="Times New Roman"/>
          <w:szCs w:val="21"/>
        </w:rPr>
      </w:pPr>
      <w:r>
        <w:rPr>
          <w:rFonts w:hint="eastAsia" w:ascii="宋体" w:hAnsi="宋体" w:eastAsia="宋体" w:cs="Times New Roman"/>
          <w:szCs w:val="21"/>
        </w:rPr>
        <w:t>2019年宣传工作取得了显著成效，2020年，我们将通过</w:t>
      </w:r>
      <w:r>
        <w:rPr>
          <w:rFonts w:hint="eastAsia" w:ascii="宋体" w:hAnsi="宋体" w:eastAsia="宋体" w:cs="Arial"/>
          <w:szCs w:val="21"/>
          <w:shd w:val="clear" w:color="auto" w:fill="FFFFFF"/>
        </w:rPr>
        <w:t>不断加强业务知识学习，提高写作水平，</w:t>
      </w:r>
      <w:r>
        <w:rPr>
          <w:rFonts w:hint="eastAsia" w:ascii="宋体" w:hAnsi="宋体" w:eastAsia="宋体" w:cs="Times New Roman"/>
          <w:szCs w:val="21"/>
        </w:rPr>
        <w:t>积极投稿，做好通讯报道任务，投稿于省民政厅、唐山市民政信息网、河北福彩网及《福彩周刊》上宣传。</w:t>
      </w:r>
    </w:p>
    <w:p>
      <w:pPr>
        <w:ind w:firstLine="420" w:firstLineChars="200"/>
        <w:rPr>
          <w:rFonts w:ascii="宋体" w:hAnsi="宋体" w:eastAsia="宋体" w:cs="Times New Roman"/>
          <w:szCs w:val="21"/>
        </w:rPr>
      </w:pPr>
      <w:r>
        <w:rPr>
          <w:rFonts w:hint="eastAsia" w:ascii="宋体" w:hAnsi="宋体" w:eastAsia="宋体" w:cs="Times New Roman"/>
          <w:szCs w:val="21"/>
        </w:rPr>
        <w:t>2020年唐山福彩网将继续良好运营，及时有效地向社会各界介绍福彩的相关知识及福彩公益金的使用情况，为广大彩民了解彩市行情、中奖信息等提供了更加快速、便捷的查询平台，有力地促进福利彩票在我市的发行。</w:t>
      </w:r>
    </w:p>
    <w:p>
      <w:pPr>
        <w:ind w:firstLine="420" w:firstLineChars="200"/>
        <w:rPr>
          <w:rFonts w:ascii="宋体" w:hAnsi="宋体" w:eastAsia="宋体" w:cs="Times New Roman"/>
          <w:szCs w:val="21"/>
        </w:rPr>
      </w:pPr>
      <w:r>
        <w:rPr>
          <w:rFonts w:hint="eastAsia" w:ascii="宋体" w:hAnsi="宋体" w:eastAsia="宋体" w:cs="Times New Roman"/>
          <w:szCs w:val="21"/>
        </w:rPr>
        <w:t>致力于福利彩票的公益性宣传。在2019年宣传的基础上，2020年将继续举办 “福彩献真情 爱心助学子”活动，并有效的进行宣传报道，充分发挥各种新闻媒体的辐射作用，使彩民了解福彩的公益性，扩大福彩社会影响力，提升了福彩的良好行业形象。</w:t>
      </w:r>
    </w:p>
    <w:p>
      <w:pPr>
        <w:ind w:firstLine="102" w:firstLineChars="49"/>
        <w:rPr>
          <w:rFonts w:ascii="宋体" w:hAnsi="宋体" w:eastAsia="宋体" w:cs="Times New Roman"/>
          <w:szCs w:val="21"/>
        </w:rPr>
      </w:pPr>
      <w:r>
        <w:rPr>
          <w:rFonts w:hint="eastAsia" w:ascii="宋体" w:hAnsi="宋体" w:eastAsia="宋体" w:cs="Times New Roman"/>
          <w:szCs w:val="21"/>
        </w:rPr>
        <w:t>6、开展大讨论活动，落实廉政建设。</w:t>
      </w:r>
    </w:p>
    <w:p>
      <w:pPr>
        <w:ind w:firstLine="420" w:firstLineChars="200"/>
        <w:rPr>
          <w:rFonts w:ascii="宋体" w:hAnsi="宋体" w:eastAsia="宋体" w:cs="Times New Roman"/>
          <w:szCs w:val="21"/>
        </w:rPr>
      </w:pPr>
      <w:r>
        <w:rPr>
          <w:rFonts w:hint="eastAsia" w:ascii="宋体" w:hAnsi="宋体" w:eastAsia="宋体" w:cs="Times New Roman"/>
          <w:szCs w:val="21"/>
        </w:rPr>
        <w:t>根据局党委的部署，我单位2020年将继续开展解放思想大讨论活动，认真查找工作中的差距，分析原因，结合我市福彩发行工作的实际情况，深入的进行了讨论和思考，并对福彩发行工作进行谋划。</w:t>
      </w:r>
    </w:p>
    <w:p>
      <w:pPr>
        <w:ind w:firstLine="315" w:firstLineChars="150"/>
        <w:rPr>
          <w:rFonts w:ascii="宋体" w:hAnsi="宋体" w:eastAsia="宋体" w:cs="Times New Roman"/>
          <w:szCs w:val="21"/>
        </w:rPr>
      </w:pPr>
      <w:r>
        <w:rPr>
          <w:rFonts w:hint="eastAsia" w:ascii="宋体" w:hAnsi="宋体" w:eastAsia="宋体" w:cs="Times New Roman"/>
          <w:szCs w:val="21"/>
        </w:rPr>
        <w:t>结合</w:t>
      </w:r>
      <w:r>
        <w:rPr>
          <w:rFonts w:hint="default" w:ascii="宋体" w:hAnsi="宋体" w:eastAsia="宋体" w:cs="Times New Roman"/>
          <w:szCs w:val="21"/>
          <w:lang w:val="en"/>
        </w:rPr>
        <w:t>“三严三实”专题教育</w:t>
      </w:r>
      <w:r>
        <w:rPr>
          <w:rFonts w:hint="eastAsia" w:ascii="宋体" w:hAnsi="宋体" w:eastAsia="宋体" w:cs="Times New Roman"/>
          <w:szCs w:val="21"/>
        </w:rPr>
        <w:t>活动，狠抓内部管理和作风建设，提高工作效率，提升服务水平，有效地提高了党员干部廉洁自律的思想意识。努力建立一个团结的班子，带出一支能战斗的队伍，建设风清、气正、劲足的福彩团队，努力推进节约型、友好型、学习型机关建设。</w:t>
      </w:r>
    </w:p>
    <w:p>
      <w:pPr>
        <w:rPr>
          <w:rFonts w:ascii="Calibri" w:hAnsi="Calibri" w:eastAsia="宋体" w:cs="Times New Roman"/>
          <w:szCs w:val="21"/>
        </w:rPr>
      </w:pPr>
    </w:p>
    <w:p>
      <w:pPr>
        <w:jc w:val="left"/>
        <w:rPr>
          <w:rFonts w:hint="eastAsia" w:ascii="宋体" w:hAnsi="宋体" w:eastAsia="宋体"/>
          <w:b/>
          <w:color w:val="000000"/>
          <w:sz w:val="28"/>
        </w:rPr>
      </w:pPr>
    </w:p>
    <w:p>
      <w:pPr>
        <w:jc w:val="left"/>
        <w:rPr>
          <w:rFonts w:hint="eastAsia" w:ascii="宋体" w:hAnsi="宋体" w:eastAsia="宋体"/>
          <w:b/>
          <w:color w:val="000000"/>
          <w:sz w:val="28"/>
        </w:rPr>
      </w:pPr>
    </w:p>
    <w:p>
      <w:pPr>
        <w:jc w:val="left"/>
        <w:rPr>
          <w:rFonts w:hint="eastAsia" w:ascii="宋体" w:hAnsi="宋体" w:eastAsia="宋体"/>
          <w:b/>
          <w:color w:val="000000"/>
          <w:sz w:val="28"/>
        </w:rPr>
      </w:pPr>
    </w:p>
    <w:p>
      <w:pPr>
        <w:jc w:val="left"/>
        <w:rPr>
          <w:rFonts w:hint="eastAsia" w:ascii="宋体" w:hAnsi="宋体" w:eastAsia="宋体"/>
          <w:b/>
          <w:color w:val="000000"/>
          <w:sz w:val="28"/>
        </w:rPr>
      </w:pPr>
    </w:p>
    <w:p>
      <w:pPr>
        <w:jc w:val="left"/>
        <w:rPr>
          <w:rFonts w:hint="eastAsia" w:ascii="宋体" w:hAnsi="宋体" w:eastAsia="宋体"/>
          <w:b/>
          <w:color w:val="000000"/>
          <w:sz w:val="28"/>
        </w:rPr>
      </w:pPr>
    </w:p>
    <w:p>
      <w:pPr>
        <w:jc w:val="left"/>
        <w:rPr>
          <w:rFonts w:ascii="宋体" w:hAnsi="宋体" w:eastAsia="宋体"/>
          <w:b/>
          <w:color w:val="000000"/>
          <w:sz w:val="28"/>
        </w:rPr>
      </w:pPr>
      <w:r>
        <w:rPr>
          <w:rFonts w:ascii="宋体" w:hAnsi="宋体" w:eastAsia="宋体"/>
          <w:b/>
          <w:color w:val="000000"/>
          <w:sz w:val="28"/>
        </w:rPr>
        <w:t>四、唐山市福利彩票发行管理中心部门总体绩效目标</w:t>
      </w:r>
    </w:p>
    <w:tbl>
      <w:tblPr>
        <w:tblStyle w:val="7"/>
        <w:tblW w:w="9300" w:type="dxa"/>
        <w:tblInd w:w="93" w:type="dxa"/>
        <w:tblLayout w:type="autofit"/>
        <w:tblCellMar>
          <w:top w:w="0" w:type="dxa"/>
          <w:left w:w="108" w:type="dxa"/>
          <w:bottom w:w="0" w:type="dxa"/>
          <w:right w:w="108" w:type="dxa"/>
        </w:tblCellMar>
      </w:tblPr>
      <w:tblGrid>
        <w:gridCol w:w="2373"/>
        <w:gridCol w:w="1940"/>
        <w:gridCol w:w="2246"/>
        <w:gridCol w:w="683"/>
        <w:gridCol w:w="892"/>
        <w:gridCol w:w="583"/>
        <w:gridCol w:w="583"/>
      </w:tblGrid>
      <w:tr>
        <w:tblPrEx>
          <w:tblCellMar>
            <w:top w:w="0" w:type="dxa"/>
            <w:left w:w="108" w:type="dxa"/>
            <w:bottom w:w="0" w:type="dxa"/>
            <w:right w:w="108" w:type="dxa"/>
          </w:tblCellMar>
        </w:tblPrEx>
        <w:trPr>
          <w:trHeight w:val="270" w:hRule="atLeast"/>
        </w:trPr>
        <w:tc>
          <w:tcPr>
            <w:tcW w:w="2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指标描述</w:t>
            </w:r>
          </w:p>
        </w:tc>
        <w:tc>
          <w:tcPr>
            <w:tcW w:w="256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指标评价标准</w:t>
            </w:r>
          </w:p>
        </w:tc>
      </w:tr>
      <w:tr>
        <w:tblPrEx>
          <w:tblCellMar>
            <w:top w:w="0" w:type="dxa"/>
            <w:left w:w="108" w:type="dxa"/>
            <w:bottom w:w="0" w:type="dxa"/>
            <w:right w:w="108" w:type="dxa"/>
          </w:tblCellMar>
        </w:tblPrEx>
        <w:trPr>
          <w:trHeight w:val="270" w:hRule="atLeast"/>
        </w:trPr>
        <w:tc>
          <w:tcPr>
            <w:tcW w:w="24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6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优</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良</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w:t>
            </w:r>
          </w:p>
        </w:tc>
        <w:tc>
          <w:tcPr>
            <w:tcW w:w="5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差</w:t>
            </w:r>
          </w:p>
        </w:tc>
      </w:tr>
      <w:tr>
        <w:tblPrEx>
          <w:tblCellMar>
            <w:top w:w="0" w:type="dxa"/>
            <w:left w:w="108" w:type="dxa"/>
            <w:bottom w:w="0" w:type="dxa"/>
            <w:right w:w="108" w:type="dxa"/>
          </w:tblCellMar>
        </w:tblPrEx>
        <w:trPr>
          <w:trHeight w:val="1635"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依据《彩票管理条例》及相关政策规定，建立完善科学规范的彩票销售渠道，充分满足彩民及彩票代销者的实际需求，并积极拓宽销售渠道，更好服务各类人群便捷购彩，为彩票顺利销售打下良好渠道基础。</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彩民满意度指标:更好服务彩民，提升服务水平，提高公众满意度。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能充分体现福彩中心作为全市管理部门，改善办公环境，方便彩民兑奖。</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95%以上</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85%以上</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70%以上</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r>
      <w:tr>
        <w:tblPrEx>
          <w:tblCellMar>
            <w:top w:w="0" w:type="dxa"/>
            <w:left w:w="108" w:type="dxa"/>
            <w:bottom w:w="0" w:type="dxa"/>
            <w:right w:w="108" w:type="dxa"/>
          </w:tblCellMar>
        </w:tblPrEx>
        <w:trPr>
          <w:trHeight w:val="1290"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依照国家相关政策规定，建立完善科学、安全、稳定的彩票销售系统，准确及时完成销售数据传输及统计工作，保证彩票销售销售工作安全运行</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彩票建设销售渠道建设管理规范度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站点形象建设达标率</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85-80%以上</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70%以上</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70%以下</w:t>
            </w:r>
          </w:p>
        </w:tc>
      </w:tr>
      <w:tr>
        <w:tblPrEx>
          <w:tblCellMar>
            <w:top w:w="0" w:type="dxa"/>
            <w:left w:w="108" w:type="dxa"/>
            <w:bottom w:w="0" w:type="dxa"/>
            <w:right w:w="108" w:type="dxa"/>
          </w:tblCellMar>
        </w:tblPrEx>
        <w:trPr>
          <w:trHeight w:val="1230"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推进彩票游戏创新和彩票品种结构优化，加强福利彩票形象建设和市场管理，科学谋划营销宣传和市场推广模式，增强抵御市场风险的能力，努力扩大彩票销售规模</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彩票销售数据准确度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福利彩票销售数据准确程度</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r>
      <w:tr>
        <w:tblPrEx>
          <w:tblCellMar>
            <w:top w:w="0" w:type="dxa"/>
            <w:left w:w="108" w:type="dxa"/>
            <w:bottom w:w="0" w:type="dxa"/>
            <w:right w:w="108" w:type="dxa"/>
          </w:tblCellMar>
        </w:tblPrEx>
        <w:trPr>
          <w:trHeight w:val="1185"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推进彩票游戏创新和彩票品种结构优化，加强福利彩票形象建设和市场管理，科学谋划营销宣传和市场推广模式，增强抵御市场风险的能力，努力扩大彩票销售规模</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彩民满意度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彩民对购彩、兑奖等环节服务的满意程度</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r>
    </w:tbl>
    <w:p>
      <w:pPr>
        <w:ind w:firstLine="396" w:firstLineChars="200"/>
        <w:rPr>
          <w:rFonts w:ascii="宋体" w:hAnsi="宋体" w:eastAsia="宋体" w:cs="楷体_GB2312"/>
          <w:bCs/>
          <w:spacing w:val="-6"/>
          <w:szCs w:val="21"/>
        </w:rPr>
      </w:pPr>
    </w:p>
    <w:p>
      <w:pPr>
        <w:ind w:firstLine="396" w:firstLineChars="200"/>
        <w:rPr>
          <w:rFonts w:ascii="宋体" w:hAnsi="宋体" w:eastAsia="宋体" w:cs="楷体_GB2312"/>
          <w:bCs/>
          <w:spacing w:val="-6"/>
          <w:szCs w:val="21"/>
        </w:rPr>
      </w:pPr>
    </w:p>
    <w:p>
      <w:pPr>
        <w:jc w:val="left"/>
        <w:rPr>
          <w:rFonts w:ascii="宋体" w:hAnsi="宋体" w:eastAsia="宋体"/>
          <w:b/>
          <w:color w:val="000000"/>
          <w:sz w:val="28"/>
        </w:rPr>
      </w:pPr>
      <w:r>
        <w:rPr>
          <w:rFonts w:ascii="宋体" w:hAnsi="宋体" w:eastAsia="宋体"/>
          <w:b/>
          <w:color w:val="000000"/>
          <w:sz w:val="28"/>
        </w:rPr>
        <w:t>五、唐山市福利彩票发行管理中心及其所属单位有关财政政策</w:t>
      </w:r>
    </w:p>
    <w:p>
      <w:pPr>
        <w:jc w:val="left"/>
        <w:rPr>
          <w:rFonts w:ascii="仿宋" w:hAnsi="仿宋" w:eastAsia="仿宋"/>
          <w:color w:val="000000"/>
          <w:sz w:val="28"/>
        </w:rPr>
      </w:pPr>
      <w:r>
        <w:rPr>
          <w:rFonts w:ascii="仿宋" w:hAnsi="仿宋" w:eastAsia="仿宋"/>
          <w:color w:val="000000"/>
          <w:sz w:val="28"/>
        </w:rPr>
        <w:t>（1）唐山市福利彩票发行管理中心为财政性资金零补助的事业单位</w:t>
      </w:r>
    </w:p>
    <w:p>
      <w:pPr>
        <w:jc w:val="left"/>
        <w:rPr>
          <w:rFonts w:ascii="仿宋" w:hAnsi="仿宋" w:eastAsia="仿宋"/>
          <w:color w:val="000000"/>
          <w:sz w:val="28"/>
        </w:rPr>
        <w:sectPr>
          <w:footerReference r:id="rId3" w:type="default"/>
          <w:pgSz w:w="11906" w:h="16838"/>
          <w:pgMar w:top="1440" w:right="1800" w:bottom="1440" w:left="1800" w:header="851" w:footer="992" w:gutter="0"/>
          <w:pgNumType w:start="1"/>
          <w:cols w:space="425" w:num="1"/>
          <w:docGrid w:type="lines" w:linePitch="312" w:charSpace="0"/>
        </w:sectPr>
      </w:pPr>
    </w:p>
    <w:p>
      <w:pPr>
        <w:pStyle w:val="6"/>
      </w:pPr>
      <w:bookmarkStart w:id="1" w:name="_Toc28732596"/>
      <w:r>
        <w:rPr>
          <w:rFonts w:hint="eastAsia"/>
        </w:rPr>
        <w:t>部门收支预算总表</w:t>
      </w:r>
      <w:bookmarkEnd w:id="1"/>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701唐山市福利彩票发行管理中心</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767.77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62.9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62.9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704.87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767.77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77.39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75.79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690.38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15.65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674.73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jc w:val="left"/>
        <w:rPr>
          <w:rFonts w:ascii="仿宋" w:hAnsi="仿宋" w:eastAsia="仿宋"/>
          <w:color w:val="000000"/>
          <w:sz w:val="28"/>
        </w:rPr>
        <w:sectPr>
          <w:headerReference r:id="rId4" w:type="default"/>
          <w:pgSz w:w="11906" w:h="16838"/>
          <w:pgMar w:top="1440" w:right="1800" w:bottom="1440" w:left="1800" w:header="851" w:footer="992" w:gutter="0"/>
          <w:cols w:space="425" w:num="1"/>
          <w:docGrid w:type="lines" w:linePitch="312" w:charSpace="0"/>
        </w:sectPr>
      </w:pPr>
    </w:p>
    <w:p>
      <w:pPr>
        <w:pStyle w:val="6"/>
        <w:rPr>
          <w:rFonts w:ascii="黑体" w:hAnsi="黑体" w:eastAsia="黑体"/>
        </w:rPr>
      </w:pPr>
      <w:bookmarkStart w:id="2" w:name="_Toc28732597"/>
      <w:r>
        <w:rPr>
          <w:rFonts w:hint="eastAsia" w:ascii="黑体" w:hAnsi="黑体" w:eastAsia="黑体"/>
        </w:rPr>
        <w:t>部门基本支出预算表</w:t>
      </w:r>
      <w:bookmarkEnd w:id="2"/>
    </w:p>
    <w:tbl>
      <w:tblPr>
        <w:tblStyle w:val="7"/>
        <w:tblW w:w="14112" w:type="dxa"/>
        <w:tblInd w:w="93" w:type="dxa"/>
        <w:tblLayout w:type="autofit"/>
        <w:tblCellMar>
          <w:top w:w="0" w:type="dxa"/>
          <w:left w:w="108" w:type="dxa"/>
          <w:bottom w:w="0" w:type="dxa"/>
          <w:right w:w="108" w:type="dxa"/>
        </w:tblCellMar>
      </w:tblPr>
      <w:tblGrid>
        <w:gridCol w:w="1433"/>
        <w:gridCol w:w="4678"/>
        <w:gridCol w:w="1417"/>
        <w:gridCol w:w="1418"/>
        <w:gridCol w:w="1275"/>
        <w:gridCol w:w="363"/>
        <w:gridCol w:w="1055"/>
        <w:gridCol w:w="1276"/>
        <w:gridCol w:w="1197"/>
      </w:tblGrid>
      <w:tr>
        <w:tblPrEx>
          <w:tblCellMar>
            <w:top w:w="0" w:type="dxa"/>
            <w:left w:w="108" w:type="dxa"/>
            <w:bottom w:w="0" w:type="dxa"/>
            <w:right w:w="108" w:type="dxa"/>
          </w:tblCellMar>
        </w:tblPrEx>
        <w:trPr>
          <w:cantSplit/>
          <w:trHeight w:val="295" w:hRule="atLeast"/>
          <w:tblHeader/>
        </w:trPr>
        <w:tc>
          <w:tcPr>
            <w:tcW w:w="10584"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701唐山市福利彩票发行管理中心</w:t>
            </w:r>
          </w:p>
        </w:tc>
        <w:tc>
          <w:tcPr>
            <w:tcW w:w="3528"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5" w:hRule="atLeast"/>
          <w:tblHead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eastAsia="黑体"/>
                <w:b/>
              </w:rPr>
              <w:t>经济分类科目编码</w:t>
            </w:r>
          </w:p>
        </w:tc>
        <w:tc>
          <w:tcPr>
            <w:tcW w:w="46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800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77.39</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75.79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75.79</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17.91</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3.59</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2.62</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15.51</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5.76</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2.88</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2.52</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3.85</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0.19</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4.32</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18.08</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9.61</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6.98</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16.38</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16.38</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0.43</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15.65</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10.31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10.31</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7.23</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1.84</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0.52</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0.21</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0.41</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基本支出总计</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93.04</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pPr>
      <w:bookmarkStart w:id="3" w:name="_Toc28732598"/>
      <w:r>
        <w:rPr>
          <w:rFonts w:hint="eastAsia"/>
        </w:rPr>
        <w:t>部门“三公”及会议培训经费预算</w:t>
      </w:r>
      <w:bookmarkEnd w:id="3"/>
    </w:p>
    <w:tbl>
      <w:tblPr>
        <w:tblStyle w:val="7"/>
        <w:tblW w:w="14091" w:type="dxa"/>
        <w:tblInd w:w="93" w:type="dxa"/>
        <w:tblLayout w:type="autofit"/>
        <w:tblCellMar>
          <w:top w:w="0" w:type="dxa"/>
          <w:left w:w="108" w:type="dxa"/>
          <w:bottom w:w="0" w:type="dxa"/>
          <w:right w:w="108" w:type="dxa"/>
        </w:tblCellMar>
      </w:tblPr>
      <w:tblGrid>
        <w:gridCol w:w="4977"/>
        <w:gridCol w:w="1842"/>
        <w:gridCol w:w="1134"/>
        <w:gridCol w:w="1560"/>
        <w:gridCol w:w="552"/>
        <w:gridCol w:w="1007"/>
        <w:gridCol w:w="1276"/>
        <w:gridCol w:w="1743"/>
      </w:tblGrid>
      <w:tr>
        <w:tblPrEx>
          <w:tblCellMar>
            <w:top w:w="0" w:type="dxa"/>
            <w:left w:w="108" w:type="dxa"/>
            <w:bottom w:w="0" w:type="dxa"/>
            <w:right w:w="108" w:type="dxa"/>
          </w:tblCellMar>
        </w:tblPrEx>
        <w:trPr>
          <w:cantSplit/>
          <w:trHeight w:val="321" w:hRule="atLeast"/>
          <w:tblHeader/>
        </w:trPr>
        <w:tc>
          <w:tcPr>
            <w:tcW w:w="10065" w:type="dxa"/>
            <w:gridSpan w:val="5"/>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701唐山市福利彩票发行管理中心</w:t>
            </w:r>
          </w:p>
        </w:tc>
        <w:tc>
          <w:tcPr>
            <w:tcW w:w="4026"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321" w:hRule="atLeast"/>
          <w:tblHeader/>
        </w:trPr>
        <w:tc>
          <w:tcPr>
            <w:tcW w:w="4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支出内容</w:t>
            </w:r>
          </w:p>
        </w:tc>
        <w:tc>
          <w:tcPr>
            <w:tcW w:w="9114"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政府性基金预算拨款安排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其他来源收入安排</w:t>
            </w:r>
          </w:p>
        </w:tc>
        <w:tc>
          <w:tcPr>
            <w:tcW w:w="17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纳入财政专户高中及其以上教育收费</w:t>
            </w: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一、“三公”经费小计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（二）公务用车购置及运维费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公务用车运行维护费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（三）公务接待费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三、培训费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19.97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19.97</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20.18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20.18</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rPr>
          <w:rFonts w:ascii="黑体" w:hAnsi="黑体" w:eastAsia="黑体"/>
        </w:rPr>
      </w:pPr>
      <w:bookmarkStart w:id="4" w:name="_Toc28732599"/>
      <w:r>
        <w:rPr>
          <w:rFonts w:hint="eastAsia" w:ascii="黑体" w:hAnsi="黑体" w:eastAsia="黑体"/>
        </w:rPr>
        <w:t>部门政府采购预算支出一览表</w:t>
      </w:r>
      <w:bookmarkEnd w:id="4"/>
    </w:p>
    <w:tbl>
      <w:tblPr>
        <w:tblStyle w:val="7"/>
        <w:tblW w:w="15574" w:type="dxa"/>
        <w:tblInd w:w="-668" w:type="dxa"/>
        <w:tblLayout w:type="autofit"/>
        <w:tblCellMar>
          <w:top w:w="0" w:type="dxa"/>
          <w:left w:w="108" w:type="dxa"/>
          <w:bottom w:w="0" w:type="dxa"/>
          <w:right w:w="108" w:type="dxa"/>
        </w:tblCellMar>
      </w:tblPr>
      <w:tblGrid>
        <w:gridCol w:w="1485"/>
        <w:gridCol w:w="986"/>
        <w:gridCol w:w="2126"/>
        <w:gridCol w:w="1276"/>
        <w:gridCol w:w="1243"/>
        <w:gridCol w:w="851"/>
        <w:gridCol w:w="708"/>
        <w:gridCol w:w="567"/>
        <w:gridCol w:w="876"/>
        <w:gridCol w:w="457"/>
        <w:gridCol w:w="988"/>
        <w:gridCol w:w="988"/>
        <w:gridCol w:w="990"/>
        <w:gridCol w:w="909"/>
        <w:gridCol w:w="909"/>
        <w:gridCol w:w="910"/>
      </w:tblGrid>
      <w:tr>
        <w:tblPrEx>
          <w:tblCellMar>
            <w:top w:w="0" w:type="dxa"/>
            <w:left w:w="108" w:type="dxa"/>
            <w:bottom w:w="0" w:type="dxa"/>
            <w:right w:w="108" w:type="dxa"/>
          </w:tblCellMar>
        </w:tblPrEx>
        <w:trPr>
          <w:cantSplit/>
          <w:trHeight w:val="275" w:hRule="atLeast"/>
          <w:tblHeader/>
        </w:trPr>
        <w:tc>
          <w:tcPr>
            <w:tcW w:w="12846" w:type="dxa"/>
            <w:gridSpan w:val="13"/>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2"/>
              </w:rPr>
            </w:pPr>
            <w:r>
              <w:rPr>
                <w:rFonts w:ascii="宋体" w:hAnsi="宋体" w:cs="宋体"/>
                <w:color w:val="000000"/>
                <w:kern w:val="0"/>
                <w:sz w:val="22"/>
              </w:rPr>
              <w:t>701唐山市福利彩票发行管理中心</w:t>
            </w:r>
          </w:p>
        </w:tc>
        <w:tc>
          <w:tcPr>
            <w:tcW w:w="2728"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75" w:hRule="atLeast"/>
          <w:tblHeader/>
        </w:trPr>
        <w:tc>
          <w:tcPr>
            <w:tcW w:w="1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4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政府采购目录序号</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采购物品名称</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产品规格</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单价(元)</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数量</w:t>
            </w:r>
          </w:p>
        </w:tc>
        <w:tc>
          <w:tcPr>
            <w:tcW w:w="569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103.19</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103.19</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2290804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会议设备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A02091299</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其他音频设备</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会议设备</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25000</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2.50</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2290804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广告费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C0806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广告服务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50000</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2290804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唐山市按摩医院综合服务楼工程尾款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A010206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事业单位用房</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尾款</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506900</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50.69</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50.69</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pPr>
      <w:bookmarkStart w:id="5" w:name="_Toc355951230"/>
      <w:bookmarkStart w:id="6" w:name="_Toc28732600"/>
      <w:r>
        <w:rPr>
          <w:rFonts w:hint="eastAsia"/>
        </w:rPr>
        <w:t>部门组织政府非税收入预算明细表</w:t>
      </w:r>
      <w:bookmarkEnd w:id="5"/>
      <w:bookmarkEnd w:id="6"/>
      <w:r>
        <w:rPr>
          <w:rFonts w:hint="eastAsia"/>
        </w:rPr>
        <w:t xml:space="preserve">                        </w:t>
      </w:r>
      <w:r>
        <w:rPr>
          <w:sz w:val="24"/>
        </w:rPr>
        <w:t xml:space="preserve">      </w:t>
      </w:r>
    </w:p>
    <w:tbl>
      <w:tblPr>
        <w:tblStyle w:val="7"/>
        <w:tblW w:w="14358" w:type="dxa"/>
        <w:tblInd w:w="93" w:type="dxa"/>
        <w:tblLayout w:type="autofit"/>
        <w:tblCellMar>
          <w:top w:w="0" w:type="dxa"/>
          <w:left w:w="108" w:type="dxa"/>
          <w:bottom w:w="0" w:type="dxa"/>
          <w:right w:w="108" w:type="dxa"/>
        </w:tblCellMar>
      </w:tblPr>
      <w:tblGrid>
        <w:gridCol w:w="3134"/>
        <w:gridCol w:w="1206"/>
        <w:gridCol w:w="1134"/>
        <w:gridCol w:w="850"/>
        <w:gridCol w:w="993"/>
        <w:gridCol w:w="850"/>
        <w:gridCol w:w="709"/>
        <w:gridCol w:w="1136"/>
        <w:gridCol w:w="990"/>
        <w:gridCol w:w="851"/>
        <w:gridCol w:w="992"/>
        <w:gridCol w:w="850"/>
        <w:gridCol w:w="735"/>
      </w:tblGrid>
      <w:tr>
        <w:tblPrEx>
          <w:tblCellMar>
            <w:top w:w="0" w:type="dxa"/>
            <w:left w:w="108" w:type="dxa"/>
            <w:bottom w:w="0" w:type="dxa"/>
            <w:right w:w="108" w:type="dxa"/>
          </w:tblCellMar>
        </w:tblPrEx>
        <w:trPr>
          <w:cantSplit/>
          <w:trHeight w:val="279" w:hRule="atLeast"/>
          <w:tblHeader/>
        </w:trPr>
        <w:tc>
          <w:tcPr>
            <w:tcW w:w="9940" w:type="dxa"/>
            <w:gridSpan w:val="8"/>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701唐山市福利彩票发行管理中心</w:t>
            </w:r>
          </w:p>
        </w:tc>
        <w:tc>
          <w:tcPr>
            <w:tcW w:w="4418" w:type="dxa"/>
            <w:gridSpan w:val="5"/>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79" w:hRule="atLeast"/>
          <w:tblHeader/>
        </w:trPr>
        <w:tc>
          <w:tcPr>
            <w:tcW w:w="3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收入科目编码</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收入项目名称</w:t>
            </w:r>
          </w:p>
        </w:tc>
        <w:tc>
          <w:tcPr>
            <w:tcW w:w="850" w:type="dxa"/>
            <w:vMerge w:val="restart"/>
            <w:tcBorders>
              <w:top w:val="single" w:color="auto" w:sz="4" w:space="0"/>
              <w:left w:val="single" w:color="auto" w:sz="4" w:space="0"/>
              <w:bottom w:val="single" w:color="000000" w:sz="4" w:space="0"/>
              <w:right w:val="nil"/>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6521" w:type="dxa"/>
            <w:gridSpan w:val="7"/>
            <w:tcBorders>
              <w:top w:val="single" w:color="auto" w:sz="4" w:space="0"/>
              <w:left w:val="single" w:color="auto" w:sz="4" w:space="0"/>
              <w:bottom w:val="nil"/>
              <w:right w:val="single" w:color="000000"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政府性基金收入</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color w:val="000000"/>
                <w:kern w:val="0"/>
                <w:sz w:val="22"/>
              </w:rPr>
            </w:pP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小计</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行政事业性收费</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专项收入</w:t>
            </w:r>
          </w:p>
        </w:tc>
        <w:tc>
          <w:tcPr>
            <w:tcW w:w="113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国有资产（资源）有偿使用收入</w:t>
            </w:r>
          </w:p>
        </w:tc>
        <w:tc>
          <w:tcPr>
            <w:tcW w:w="99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国有资本经营收入</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罚没收入</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其他收入</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3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85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85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103070604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事业单位国有资产出租出借收入</w:t>
            </w:r>
          </w:p>
        </w:tc>
        <w:tc>
          <w:tcPr>
            <w:tcW w:w="850"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850" w:type="dxa"/>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90.00</w:t>
            </w:r>
          </w:p>
        </w:tc>
        <w:tc>
          <w:tcPr>
            <w:tcW w:w="85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90.00</w:t>
            </w:r>
          </w:p>
        </w:tc>
        <w:tc>
          <w:tcPr>
            <w:tcW w:w="99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5" w:type="default"/>
          <w:pgSz w:w="16838" w:h="11906" w:orient="landscape"/>
          <w:pgMar w:top="1800" w:right="1440" w:bottom="1800" w:left="1440" w:header="851" w:footer="992" w:gutter="0"/>
          <w:cols w:space="425" w:num="1"/>
          <w:docGrid w:type="lines" w:linePitch="312" w:charSpace="0"/>
        </w:sectPr>
      </w:pPr>
    </w:p>
    <w:p>
      <w:pPr>
        <w:pStyle w:val="6"/>
        <w:rPr>
          <w:sz w:val="28"/>
        </w:rPr>
      </w:pPr>
      <w:bookmarkStart w:id="7" w:name="_Toc383873143"/>
      <w:bookmarkStart w:id="8" w:name="_Toc28732601"/>
      <w:r>
        <w:rPr>
          <w:rFonts w:hint="eastAsia"/>
        </w:rPr>
        <w:t>部门基本情况</w:t>
      </w:r>
      <w:bookmarkEnd w:id="7"/>
      <w:bookmarkEnd w:id="8"/>
      <w:r>
        <w:rPr>
          <w:rFonts w:hint="eastAsia"/>
          <w:sz w:val="28"/>
        </w:rPr>
        <w:t xml:space="preserve">  </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shd w:val="clear" w:color="auto" w:fill="auto"/>
            <w:vAlign w:val="center"/>
          </w:tcPr>
          <w:p>
            <w:pPr>
              <w:widowControl/>
              <w:jc w:val="left"/>
              <w:rPr>
                <w:rFonts w:ascii="黑体" w:hAnsi="黑体" w:eastAsia="黑体" w:cs="宋体"/>
                <w:b/>
                <w:bCs/>
                <w:color w:val="000000"/>
                <w:kern w:val="0"/>
                <w:sz w:val="22"/>
              </w:rPr>
            </w:pPr>
            <w:r>
              <w:rPr>
                <w:rFonts w:ascii="宋体" w:hAnsi="宋体"/>
                <w:sz w:val="28"/>
              </w:rPr>
              <w:t>701唐山市福利彩票发行管理中心</w:t>
            </w:r>
          </w:p>
        </w:tc>
        <w:tc>
          <w:tcPr>
            <w:tcW w:w="2666" w:type="dxa"/>
            <w:gridSpan w:val="4"/>
            <w:tcBorders>
              <w:top w:val="nil"/>
              <w:left w:val="nil"/>
              <w:right w:val="nil"/>
            </w:tcBorders>
            <w:shd w:val="clear" w:color="auto" w:fill="auto"/>
            <w:vAlign w:val="center"/>
          </w:tcPr>
          <w:p>
            <w:pPr>
              <w:widowControl/>
              <w:jc w:val="right"/>
              <w:rPr>
                <w:rFonts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322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shd w:val="clear" w:color="auto" w:fill="auto"/>
            <w:vAlign w:val="center"/>
          </w:tcPr>
          <w:p>
            <w:pPr>
              <w:widowControl/>
              <w:rPr>
                <w:rFonts w:ascii="宋体" w:hAnsi="宋体" w:cs="宋体"/>
                <w:color w:val="000000"/>
                <w:kern w:val="0"/>
                <w:szCs w:val="21"/>
              </w:rPr>
            </w:pPr>
          </w:p>
        </w:tc>
        <w:tc>
          <w:tcPr>
            <w:tcW w:w="1135" w:type="dxa"/>
            <w:vMerge w:val="continue"/>
            <w:shd w:val="clear" w:color="auto" w:fill="auto"/>
            <w:vAlign w:val="center"/>
          </w:tcPr>
          <w:p>
            <w:pPr>
              <w:widowControl/>
              <w:rPr>
                <w:rFonts w:ascii="宋体" w:hAnsi="宋体" w:cs="宋体"/>
                <w:color w:val="000000"/>
                <w:kern w:val="0"/>
                <w:szCs w:val="21"/>
              </w:rPr>
            </w:pPr>
          </w:p>
        </w:tc>
        <w:tc>
          <w:tcPr>
            <w:tcW w:w="1134"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gridSpan w:val="2"/>
            <w:vMerge w:val="continue"/>
            <w:shd w:val="clear" w:color="auto" w:fill="auto"/>
            <w:vAlign w:val="center"/>
          </w:tcPr>
          <w:p>
            <w:pPr>
              <w:widowControl/>
              <w:jc w:val="right"/>
              <w:rPr>
                <w:rFonts w:ascii="宋体" w:hAnsi="宋体" w:cs="宋体"/>
                <w:color w:val="000000"/>
                <w:kern w:val="0"/>
                <w:szCs w:val="21"/>
              </w:rPr>
            </w:pPr>
          </w:p>
        </w:tc>
        <w:tc>
          <w:tcPr>
            <w:tcW w:w="995" w:type="dxa"/>
            <w:vMerge w:val="continue"/>
            <w:shd w:val="clear" w:color="auto" w:fill="auto"/>
            <w:vAlign w:val="center"/>
          </w:tcPr>
          <w:p>
            <w:pPr>
              <w:widowControl/>
              <w:jc w:val="right"/>
              <w:rPr>
                <w:rFonts w:ascii="宋体" w:hAnsi="宋体" w:cs="宋体"/>
                <w:color w:val="000000"/>
                <w:kern w:val="0"/>
                <w:szCs w:val="21"/>
              </w:rPr>
            </w:pPr>
          </w:p>
        </w:tc>
        <w:tc>
          <w:tcPr>
            <w:tcW w:w="853" w:type="dxa"/>
            <w:vMerge w:val="continue"/>
            <w:shd w:val="clear" w:color="auto" w:fill="auto"/>
            <w:vAlign w:val="center"/>
          </w:tcPr>
          <w:p>
            <w:pPr>
              <w:widowControl/>
              <w:jc w:val="right"/>
              <w:rPr>
                <w:rFonts w:ascii="宋体" w:hAnsi="宋体" w:cs="宋体"/>
                <w:color w:val="000000"/>
                <w:kern w:val="0"/>
                <w:szCs w:val="21"/>
              </w:rPr>
            </w:pPr>
          </w:p>
        </w:tc>
        <w:tc>
          <w:tcPr>
            <w:tcW w:w="737"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唐山市福利彩票发行管理中心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财政性资金零补助</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pPr>
              <w:widowControl/>
              <w:rPr>
                <w:rFonts w:ascii="宋体" w:hAnsi="宋体" w:cs="宋体"/>
                <w:color w:val="000000"/>
                <w:kern w:val="0"/>
                <w:szCs w:val="21"/>
              </w:rPr>
            </w:pPr>
          </w:p>
        </w:tc>
        <w:tc>
          <w:tcPr>
            <w:tcW w:w="1134"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r>
    </w:tbl>
    <w:p/>
    <w:p>
      <w:pPr>
        <w:jc w:val="left"/>
        <w:rPr>
          <w:rFonts w:ascii="仿宋" w:hAnsi="仿宋" w:eastAsia="仿宋"/>
          <w:color w:val="000000"/>
          <w:sz w:val="28"/>
        </w:rPr>
        <w:sectPr>
          <w:headerReference r:id="rId6" w:type="default"/>
          <w:pgSz w:w="16838" w:h="11906" w:orient="landscape"/>
          <w:pgMar w:top="1800" w:right="1440" w:bottom="1800" w:left="1440" w:header="851" w:footer="992" w:gutter="0"/>
          <w:cols w:space="425" w:num="1"/>
          <w:docGrid w:type="lines" w:linePitch="312" w:charSpace="0"/>
        </w:sectPr>
      </w:pPr>
    </w:p>
    <w:p>
      <w:pPr>
        <w:pStyle w:val="6"/>
      </w:pPr>
      <w:bookmarkStart w:id="9" w:name="_Toc28732602"/>
      <w:bookmarkStart w:id="10" w:name="_Toc383873146"/>
      <w:r>
        <w:rPr>
          <w:rFonts w:hint="eastAsia"/>
        </w:rPr>
        <w:t>部门专项公用经费项目支出一览表</w:t>
      </w:r>
      <w:bookmarkEnd w:id="9"/>
      <w:bookmarkEnd w:id="10"/>
      <w:r>
        <w:rPr>
          <w:rFonts w:hint="eastAsia"/>
        </w:rPr>
        <w:t xml:space="preserve">                        </w:t>
      </w:r>
      <w:r>
        <w:rPr>
          <w:sz w:val="24"/>
        </w:rPr>
        <w:t xml:space="preserve">      </w:t>
      </w:r>
    </w:p>
    <w:tbl>
      <w:tblPr>
        <w:tblStyle w:val="7"/>
        <w:tblW w:w="14048" w:type="dxa"/>
        <w:tblInd w:w="93" w:type="dxa"/>
        <w:tblLayout w:type="autofit"/>
        <w:tblCellMar>
          <w:top w:w="0" w:type="dxa"/>
          <w:left w:w="108" w:type="dxa"/>
          <w:bottom w:w="0" w:type="dxa"/>
          <w:right w:w="108" w:type="dxa"/>
        </w:tblCellMar>
      </w:tblPr>
      <w:tblGrid>
        <w:gridCol w:w="2992"/>
        <w:gridCol w:w="3686"/>
        <w:gridCol w:w="1417"/>
        <w:gridCol w:w="1134"/>
        <w:gridCol w:w="1134"/>
        <w:gridCol w:w="173"/>
        <w:gridCol w:w="1103"/>
        <w:gridCol w:w="1134"/>
        <w:gridCol w:w="1275"/>
      </w:tblGrid>
      <w:tr>
        <w:tblPrEx>
          <w:tblCellMar>
            <w:top w:w="0" w:type="dxa"/>
            <w:left w:w="108" w:type="dxa"/>
            <w:bottom w:w="0" w:type="dxa"/>
            <w:right w:w="108" w:type="dxa"/>
          </w:tblCellMar>
        </w:tblPrEx>
        <w:trPr>
          <w:cantSplit/>
          <w:trHeight w:val="294" w:hRule="atLeast"/>
          <w:tblHeader/>
        </w:trPr>
        <w:tc>
          <w:tcPr>
            <w:tcW w:w="10536"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2"/>
              </w:rPr>
            </w:pPr>
            <w:r>
              <w:rPr>
                <w:rFonts w:ascii="宋体" w:hAnsi="宋体" w:cs="宋体"/>
                <w:color w:val="000000"/>
                <w:kern w:val="0"/>
                <w:sz w:val="22"/>
              </w:rPr>
              <w:t>701唐山市福利彩票发行管理中心</w:t>
            </w:r>
          </w:p>
        </w:tc>
        <w:tc>
          <w:tcPr>
            <w:tcW w:w="3512"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94" w:hRule="atLeast"/>
          <w:tblHeader/>
        </w:trPr>
        <w:tc>
          <w:tcPr>
            <w:tcW w:w="2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737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会议设备</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销售厅及办公楼维保费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清理化粪池</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销售厅及会议室装修改造</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唐山市按摩医院综合服务楼工程尾款</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50.69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50.69</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培训费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19.45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19.45</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网络维护费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9.35</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广告费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市场营销及宣传推广费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115.10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115.10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中福在线销售厅房租</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24.80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聘用人员工资及保险等费用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305.14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305.14</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差旅交通物业等其他费用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唐山市福利彩票发行管理中心</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办公楼水电暖费用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674.73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611.83</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7" w:type="default"/>
          <w:pgSz w:w="16838" w:h="11906" w:orient="landscape"/>
          <w:pgMar w:top="1800" w:right="1440" w:bottom="1800" w:left="1440" w:header="851" w:footer="992" w:gutter="0"/>
          <w:cols w:space="425" w:num="1"/>
          <w:docGrid w:type="lines" w:linePitch="312" w:charSpace="0"/>
        </w:sect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pStyle w:val="2"/>
        <w:numPr>
          <w:ilvl w:val="0"/>
          <w:numId w:val="1"/>
        </w:numPr>
        <w:jc w:val="center"/>
      </w:pPr>
      <w:bookmarkStart w:id="11" w:name="_Toc28732603"/>
      <w:r>
        <w:t>唐山市福利彩票发行管理中心</w:t>
      </w:r>
    </w:p>
    <w:p>
      <w:pPr>
        <w:pStyle w:val="2"/>
        <w:numPr>
          <w:ilvl w:val="0"/>
          <w:numId w:val="0"/>
        </w:numPr>
        <w:jc w:val="both"/>
        <w:sectPr>
          <w:pgSz w:w="11906" w:h="16838"/>
          <w:pgMar w:top="1440" w:right="1800" w:bottom="1440" w:left="1800" w:header="851" w:footer="992" w:gutter="0"/>
          <w:cols w:space="425" w:num="1"/>
          <w:docGrid w:type="lines" w:linePitch="312" w:charSpace="0"/>
        </w:sectPr>
      </w:pPr>
      <w:r>
        <w:rPr>
          <w:rFonts w:hint="eastAsia"/>
          <w:lang w:eastAsia="zh-CN"/>
        </w:rPr>
        <w:t>　　　　　　　</w:t>
      </w:r>
      <w:r>
        <w:t>收支预算安排</w:t>
      </w:r>
      <w:bookmarkEnd w:id="11"/>
    </w:p>
    <w:p>
      <w:pPr>
        <w:jc w:val="center"/>
        <w:rPr>
          <w:rFonts w:hint="eastAsia" w:ascii="宋体" w:hAnsi="宋体" w:eastAsia="宋体"/>
          <w:b/>
          <w:color w:val="000000"/>
          <w:sz w:val="44"/>
        </w:rPr>
      </w:pPr>
      <w:r>
        <w:rPr>
          <w:rFonts w:hint="eastAsia" w:ascii="宋体" w:hAnsi="宋体" w:eastAsia="宋体"/>
          <w:b/>
          <w:color w:val="000000"/>
          <w:sz w:val="44"/>
        </w:rPr>
        <w:t>唐山市福利彩票发行管理中心</w:t>
      </w:r>
    </w:p>
    <w:p>
      <w:pPr>
        <w:jc w:val="center"/>
        <w:rPr>
          <w:rFonts w:ascii="宋体" w:hAnsi="宋体" w:eastAsia="宋体"/>
          <w:b/>
          <w:color w:val="000000"/>
          <w:sz w:val="44"/>
        </w:rPr>
      </w:pPr>
      <w:r>
        <w:rPr>
          <w:rFonts w:hint="eastAsia" w:ascii="宋体" w:hAnsi="宋体" w:eastAsia="宋体"/>
          <w:b/>
          <w:color w:val="000000"/>
          <w:sz w:val="44"/>
        </w:rPr>
        <w:t>职责任务与目标</w:t>
      </w:r>
    </w:p>
    <w:p>
      <w:pPr>
        <w:spacing w:line="480" w:lineRule="auto"/>
        <w:jc w:val="left"/>
        <w:rPr>
          <w:rFonts w:ascii="宋体" w:hAnsi="宋体" w:eastAsia="宋体"/>
          <w:b/>
          <w:color w:val="000000"/>
          <w:sz w:val="28"/>
        </w:rPr>
      </w:pPr>
      <w:r>
        <w:rPr>
          <w:rFonts w:hint="eastAsia" w:ascii="宋体" w:hAnsi="宋体" w:eastAsia="宋体"/>
          <w:b/>
          <w:color w:val="000000"/>
          <w:sz w:val="28"/>
        </w:rPr>
        <w:t>一、主要职责</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根据《唐山市机构编制委员会办公室》唐机编办[1997]第31号文件，我单位主要职责是：</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制定全市有奖募捐工作的规划、办法、方案；</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组织全市福利彩票的发行和销售；</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对各县（市）区有奖募捐工作进行监督、管理；</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负责全市有奖募捐财务管理和财务审计工作。</w:t>
      </w:r>
    </w:p>
    <w:p>
      <w:pPr>
        <w:rPr>
          <w:rFonts w:ascii="Calibri" w:hAnsi="Calibri" w:eastAsia="宋体" w:cs="Times New Roman"/>
          <w:szCs w:val="21"/>
        </w:rPr>
      </w:pPr>
    </w:p>
    <w:p>
      <w:pPr>
        <w:rPr>
          <w:rFonts w:ascii="Calibri" w:hAnsi="Calibri" w:eastAsia="宋体" w:cs="Times New Roman"/>
          <w:szCs w:val="21"/>
        </w:rPr>
      </w:pPr>
    </w:p>
    <w:p>
      <w:pPr>
        <w:rPr>
          <w:rFonts w:ascii="Calibri" w:hAnsi="Calibri" w:eastAsia="宋体" w:cs="Times New Roman"/>
        </w:rPr>
      </w:pPr>
    </w:p>
    <w:p>
      <w:pPr>
        <w:spacing w:line="480" w:lineRule="auto"/>
        <w:jc w:val="left"/>
        <w:rPr>
          <w:rFonts w:ascii="宋体" w:hAnsi="宋体" w:eastAsia="宋体"/>
          <w:b/>
          <w:color w:val="000000"/>
          <w:sz w:val="28"/>
        </w:rPr>
      </w:pPr>
      <w:r>
        <w:rPr>
          <w:rFonts w:hint="eastAsia" w:ascii="宋体" w:hAnsi="宋体" w:eastAsia="宋体"/>
          <w:b/>
          <w:color w:val="000000"/>
          <w:sz w:val="28"/>
        </w:rPr>
        <w:t>二、主要任务及目标规划</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1、拓宽福利彩票销售渠道，增设农村销售网点。</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2、在经济状况好、市场条件成熟的县（市）区开设新的中福在线销售厅。</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3、对优秀单彩站进行形像建设，提升整体形象。</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4、完善投注站奖惩机制，加大对彩民回馈投入。</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5、加强投入站管理，提升投注站服务水平和单机销售量。</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6、加强福彩公益性和福彩新品种趣味性宣传，扩大社会影响力。</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7、全市福彩销售额达到3.5亿元。</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8、组织“送寒门学子进校园”爱心助学公益活动，对困难家庭考入一本的大学新生进行救助。</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9、加强对全市销售站的监督检查，及时解决各种完全隐患。</w:t>
      </w:r>
    </w:p>
    <w:p>
      <w:pPr>
        <w:spacing w:line="360" w:lineRule="auto"/>
        <w:ind w:firstLine="420" w:firstLineChars="200"/>
        <w:jc w:val="left"/>
        <w:rPr>
          <w:rFonts w:ascii="宋体" w:hAnsi="宋体" w:eastAsia="宋体" w:cs="Times New Roman"/>
        </w:rPr>
      </w:pPr>
      <w:r>
        <w:rPr>
          <w:rFonts w:hint="eastAsia" w:ascii="宋体" w:hAnsi="宋体" w:eastAsia="宋体" w:cs="Times New Roman"/>
        </w:rPr>
        <w:t>10对全市所有投注站从业人员进行专业营销培训，提高销售人员业务水平。</w:t>
      </w:r>
    </w:p>
    <w:p>
      <w:pPr>
        <w:rPr>
          <w:rFonts w:ascii="Calibri" w:hAnsi="Calibri" w:eastAsia="宋体" w:cs="Times New Roman"/>
        </w:rPr>
      </w:pPr>
    </w:p>
    <w:p>
      <w:pPr>
        <w:rPr>
          <w:rFonts w:ascii="Calibri" w:hAnsi="Calibri" w:eastAsia="宋体" w:cs="Times New Roman"/>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701002唐山市福利彩票发行管理中心</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767.77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62.9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62.9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704.87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767.77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77.39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75.79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690.38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15.65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674.73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8" w:type="default"/>
          <w:pgSz w:w="11906" w:h="16838"/>
          <w:pgMar w:top="1440" w:right="1800" w:bottom="1440" w:left="180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701002唐山市福利彩票发行管理中心</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77.39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77.39</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75.79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75.79</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17.91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17.91</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3.59</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2.62</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15.51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15.51</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5.76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5.76</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2.88</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2.52</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0.19</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0.22</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0.09</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4.32</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18.08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18.08</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9.61</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6.98</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1.49</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16.38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16.38</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16.38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16.38</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1.17</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0.43</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701002唐山市福利彩票发行管理中心</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15.65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10.31</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0.53</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7.23</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1.84</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0.52</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0.41</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0.15</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0.06</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701002唐山市福利彩票发行管理中心</w:t>
            </w:r>
          </w:p>
        </w:tc>
        <w:tc>
          <w:tcPr>
            <w:tcW w:w="4020" w:type="dxa"/>
            <w:gridSpan w:val="4"/>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19.97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20.18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360" w:lineRule="auto"/>
        <w:jc w:val="left"/>
        <w:rPr>
          <w:rFonts w:ascii="宋体" w:hAnsi="宋体" w:eastAsia="宋体"/>
          <w:b/>
          <w:color w:val="000000"/>
          <w:sz w:val="28"/>
        </w:rPr>
        <w:sectPr>
          <w:headerReference r:id="rId9"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Layout w:type="autofit"/>
        <w:tblCellMar>
          <w:top w:w="0" w:type="dxa"/>
          <w:left w:w="108" w:type="dxa"/>
          <w:bottom w:w="0" w:type="dxa"/>
          <w:right w:w="108" w:type="dxa"/>
        </w:tblCellMar>
      </w:tblPr>
      <w:tblGrid>
        <w:gridCol w:w="1767"/>
        <w:gridCol w:w="1767"/>
        <w:gridCol w:w="1767"/>
        <w:gridCol w:w="1767"/>
        <w:gridCol w:w="1767"/>
        <w:gridCol w:w="1769"/>
        <w:gridCol w:w="1767"/>
        <w:gridCol w:w="1768"/>
      </w:tblGrid>
      <w:tr>
        <w:tblPrEx>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701002唐山市福利彩票发行管理中心</w:t>
            </w:r>
          </w:p>
        </w:tc>
        <w:tc>
          <w:tcPr>
            <w:tcW w:w="3535" w:type="dxa"/>
            <w:gridSpan w:val="2"/>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674.73</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62.90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611.83</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会议设备</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2081099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销售厅及办公楼维保费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30.10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30.10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清理化粪池</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销售厅及会议室装修改造</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唐山市按摩医院综合服务楼工程尾款</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50.69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50.69</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培训费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19.45</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19.45</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网络维护费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9.35</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9.35</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广告费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市场营销及宣传推广费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115.10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115.10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中福在线销售厅房租</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24.80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24.80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2081099</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办公楼水电暖费用</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32.80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32.80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聘用人员工资及保险等费用</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305.14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305.14</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2290804</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差旅交通物业等其他费用</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19.00</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701002唐山市福利彩票发行管理中心</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10"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701002唐山市福利彩票发行管理中心</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14192.78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11"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唐山市福利彩票发行管理中心</w:t>
      </w:r>
    </w:p>
    <w:p>
      <w:pPr>
        <w:spacing w:line="360" w:lineRule="auto"/>
        <w:jc w:val="center"/>
        <w:rPr>
          <w:rFonts w:ascii="宋体" w:hAnsi="宋体" w:eastAsia="宋体"/>
          <w:b/>
          <w:color w:val="000000"/>
          <w:sz w:val="44"/>
        </w:rPr>
      </w:pPr>
      <w:r>
        <w:rPr>
          <w:rFonts w:ascii="宋体" w:hAnsi="宋体" w:eastAsia="宋体"/>
          <w:b/>
          <w:color w:val="000000"/>
          <w:sz w:val="44"/>
        </w:rPr>
        <w:t>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Layout w:type="autofit"/>
        <w:tblCellMar>
          <w:top w:w="57" w:type="dxa"/>
          <w:left w:w="85" w:type="dxa"/>
          <w:bottom w:w="57" w:type="dxa"/>
          <w:right w:w="85" w:type="dxa"/>
        </w:tblCellMar>
      </w:tblPr>
      <w:tblGrid>
        <w:gridCol w:w="1953"/>
        <w:gridCol w:w="2268"/>
        <w:gridCol w:w="1418"/>
        <w:gridCol w:w="247"/>
        <w:gridCol w:w="8432"/>
      </w:tblGrid>
      <w:tr>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pPr>
              <w:widowControl/>
              <w:jc w:val="left"/>
              <w:rPr>
                <w:rFonts w:ascii="黑体" w:hAnsi="黑体" w:eastAsia="黑体" w:cs="宋体"/>
                <w:b/>
                <w:color w:val="000000"/>
                <w:kern w:val="0"/>
                <w:szCs w:val="21"/>
              </w:rPr>
            </w:pPr>
            <w:r>
              <w:rPr>
                <w:rFonts w:ascii="宋体" w:hAnsi="宋体"/>
                <w:sz w:val="28"/>
              </w:rPr>
              <w:t>701002唐山市福利彩票发行管理中心</w:t>
            </w:r>
          </w:p>
        </w:tc>
        <w:tc>
          <w:tcPr>
            <w:tcW w:w="8432" w:type="dxa"/>
            <w:tcBorders>
              <w:bottom w:val="single" w:color="auto" w:sz="4" w:space="0"/>
            </w:tcBorders>
            <w:shd w:val="clear" w:color="auto" w:fill="auto"/>
            <w:noWrap/>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674.73</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70100220GGZ0010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会议设备</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序号</w:t>
            </w:r>
            <w:r>
              <w:rPr>
                <w:rFonts w:ascii="宋体" w:hAnsi="宋体" w:cs="宋体"/>
                <w:color w:val="000000"/>
                <w:kern w:val="0"/>
                <w:szCs w:val="21"/>
              </w:rPr>
              <w:tab/>
            </w:r>
            <w:r>
              <w:rPr>
                <w:rFonts w:ascii="宋体" w:hAnsi="宋体" w:cs="宋体"/>
                <w:color w:val="000000"/>
                <w:kern w:val="0"/>
                <w:szCs w:val="21"/>
              </w:rPr>
              <w:t>名称</w:t>
            </w:r>
            <w:r>
              <w:rPr>
                <w:rFonts w:ascii="宋体" w:hAnsi="宋体" w:cs="宋体"/>
                <w:color w:val="000000"/>
                <w:kern w:val="0"/>
                <w:szCs w:val="21"/>
              </w:rPr>
              <w:tab/>
            </w:r>
            <w:r>
              <w:rPr>
                <w:rFonts w:ascii="宋体" w:hAnsi="宋体" w:cs="宋体"/>
                <w:color w:val="000000"/>
                <w:kern w:val="0"/>
                <w:szCs w:val="21"/>
              </w:rPr>
              <w:t>品牌</w:t>
            </w:r>
            <w:r>
              <w:rPr>
                <w:rFonts w:ascii="宋体" w:hAnsi="宋体" w:cs="宋体"/>
                <w:color w:val="000000"/>
                <w:kern w:val="0"/>
                <w:szCs w:val="21"/>
              </w:rPr>
              <w:tab/>
            </w:r>
            <w:r>
              <w:rPr>
                <w:rFonts w:ascii="宋体" w:hAnsi="宋体" w:cs="宋体"/>
                <w:color w:val="000000"/>
                <w:kern w:val="0"/>
                <w:szCs w:val="21"/>
              </w:rPr>
              <w:t>单位</w:t>
            </w:r>
            <w:r>
              <w:rPr>
                <w:rFonts w:ascii="宋体" w:hAnsi="宋体" w:cs="宋体"/>
                <w:color w:val="000000"/>
                <w:kern w:val="0"/>
                <w:szCs w:val="21"/>
              </w:rPr>
              <w:tab/>
            </w:r>
            <w:r>
              <w:rPr>
                <w:rFonts w:ascii="宋体" w:hAnsi="宋体" w:cs="宋体"/>
                <w:color w:val="000000"/>
                <w:kern w:val="0"/>
                <w:szCs w:val="21"/>
              </w:rPr>
              <w:t>数量</w:t>
            </w:r>
            <w:r>
              <w:rPr>
                <w:rFonts w:ascii="宋体" w:hAnsi="宋体" w:cs="宋体"/>
                <w:color w:val="000000"/>
                <w:kern w:val="0"/>
                <w:szCs w:val="21"/>
              </w:rPr>
              <w:tab/>
            </w:r>
            <w:r>
              <w:rPr>
                <w:rFonts w:ascii="宋体" w:hAnsi="宋体" w:cs="宋体"/>
                <w:color w:val="000000"/>
                <w:kern w:val="0"/>
                <w:szCs w:val="21"/>
              </w:rPr>
              <w:t>金额(元)</w:t>
            </w:r>
            <w:r>
              <w:rPr>
                <w:rFonts w:ascii="宋体" w:hAnsi="宋体" w:cs="宋体"/>
                <w:color w:val="000000"/>
                <w:kern w:val="0"/>
                <w:szCs w:val="21"/>
              </w:rPr>
              <w:tab/>
            </w:r>
            <w:r>
              <w:rPr>
                <w:rFonts w:ascii="宋体" w:hAnsi="宋体" w:cs="宋体"/>
                <w:color w:val="000000"/>
                <w:kern w:val="0"/>
                <w:szCs w:val="21"/>
              </w:rPr>
              <w:tab/>
            </w:r>
            <w:r>
              <w:rPr>
                <w:rFonts w:ascii="宋体" w:hAnsi="宋体" w:cs="宋体"/>
                <w:color w:val="000000"/>
                <w:kern w:val="0"/>
                <w:szCs w:val="21"/>
              </w:rPr>
              <w:t>规格</w:t>
            </w:r>
          </w:p>
          <w:p>
            <w:pPr>
              <w:widowControl/>
              <w:jc w:val="left"/>
              <w:rPr>
                <w:rFonts w:ascii="宋体" w:hAnsi="宋体" w:cs="宋体"/>
                <w:color w:val="000000"/>
                <w:kern w:val="0"/>
                <w:szCs w:val="21"/>
              </w:rPr>
            </w:pPr>
            <w:r>
              <w:rPr>
                <w:rFonts w:ascii="宋体" w:hAnsi="宋体" w:cs="宋体"/>
                <w:color w:val="000000"/>
                <w:kern w:val="0"/>
                <w:szCs w:val="21"/>
              </w:rPr>
              <w:tab/>
            </w:r>
            <w:r>
              <w:rPr>
                <w:rFonts w:ascii="宋体" w:hAnsi="宋体" w:cs="宋体"/>
                <w:color w:val="000000"/>
                <w:kern w:val="0"/>
                <w:szCs w:val="21"/>
              </w:rPr>
              <w:tab/>
            </w:r>
            <w:r>
              <w:rPr>
                <w:rFonts w:ascii="宋体" w:hAnsi="宋体" w:cs="宋体"/>
                <w:color w:val="000000"/>
                <w:kern w:val="0"/>
                <w:szCs w:val="21"/>
              </w:rPr>
              <w:tab/>
            </w:r>
            <w:r>
              <w:rPr>
                <w:rFonts w:ascii="宋体" w:hAnsi="宋体" w:cs="宋体"/>
                <w:color w:val="000000"/>
                <w:kern w:val="0"/>
                <w:szCs w:val="21"/>
              </w:rPr>
              <w:tab/>
            </w:r>
            <w:r>
              <w:rPr>
                <w:rFonts w:ascii="宋体" w:hAnsi="宋体" w:cs="宋体"/>
                <w:color w:val="000000"/>
                <w:kern w:val="0"/>
                <w:szCs w:val="21"/>
              </w:rPr>
              <w:tab/>
            </w:r>
            <w:r>
              <w:rPr>
                <w:rFonts w:ascii="宋体" w:hAnsi="宋体" w:cs="宋体"/>
                <w:color w:val="000000"/>
                <w:kern w:val="0"/>
                <w:szCs w:val="21"/>
              </w:rPr>
              <w:t>单价</w:t>
            </w:r>
            <w:r>
              <w:rPr>
                <w:rFonts w:ascii="宋体" w:hAnsi="宋体" w:cs="宋体"/>
                <w:color w:val="000000"/>
                <w:kern w:val="0"/>
                <w:szCs w:val="21"/>
              </w:rPr>
              <w:tab/>
            </w:r>
            <w:r>
              <w:rPr>
                <w:rFonts w:ascii="宋体" w:hAnsi="宋体" w:cs="宋体"/>
                <w:color w:val="000000"/>
                <w:kern w:val="0"/>
                <w:szCs w:val="21"/>
              </w:rPr>
              <w:t>合价</w:t>
            </w:r>
            <w:r>
              <w:rPr>
                <w:rFonts w:ascii="宋体" w:hAnsi="宋体" w:cs="宋体"/>
                <w:color w:val="000000"/>
                <w:kern w:val="0"/>
                <w:szCs w:val="21"/>
              </w:rPr>
              <w:tab/>
            </w:r>
          </w:p>
          <w:p>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ab/>
            </w:r>
            <w:r>
              <w:rPr>
                <w:rFonts w:ascii="宋体" w:hAnsi="宋体" w:cs="宋体"/>
                <w:color w:val="000000"/>
                <w:kern w:val="0"/>
                <w:szCs w:val="21"/>
              </w:rPr>
              <w:t>会议吸顶音箱</w:t>
            </w:r>
            <w:r>
              <w:rPr>
                <w:rFonts w:ascii="宋体" w:hAnsi="宋体" w:cs="宋体"/>
                <w:color w:val="000000"/>
                <w:kern w:val="0"/>
                <w:szCs w:val="21"/>
              </w:rPr>
              <w:tab/>
            </w:r>
            <w:r>
              <w:rPr>
                <w:rFonts w:ascii="宋体" w:hAnsi="宋体" w:cs="宋体"/>
                <w:color w:val="000000"/>
                <w:kern w:val="0"/>
                <w:szCs w:val="21"/>
              </w:rPr>
              <w:t>HIVI</w:t>
            </w:r>
            <w:r>
              <w:rPr>
                <w:rFonts w:ascii="宋体" w:hAnsi="宋体" w:cs="宋体"/>
                <w:color w:val="000000"/>
                <w:kern w:val="0"/>
                <w:szCs w:val="21"/>
              </w:rPr>
              <w:tab/>
            </w:r>
            <w:r>
              <w:rPr>
                <w:rFonts w:ascii="宋体" w:hAnsi="宋体" w:cs="宋体"/>
                <w:color w:val="000000"/>
                <w:kern w:val="0"/>
                <w:szCs w:val="21"/>
              </w:rPr>
              <w:t>只</w:t>
            </w:r>
            <w:r>
              <w:rPr>
                <w:rFonts w:ascii="宋体" w:hAnsi="宋体" w:cs="宋体"/>
                <w:color w:val="000000"/>
                <w:kern w:val="0"/>
                <w:szCs w:val="21"/>
              </w:rPr>
              <w:tab/>
            </w:r>
            <w:r>
              <w:rPr>
                <w:rFonts w:ascii="宋体" w:hAnsi="宋体" w:cs="宋体"/>
                <w:color w:val="000000"/>
                <w:kern w:val="0"/>
                <w:szCs w:val="21"/>
              </w:rPr>
              <w:t>4</w:t>
            </w:r>
            <w:r>
              <w:rPr>
                <w:rFonts w:ascii="宋体" w:hAnsi="宋体" w:cs="宋体"/>
                <w:color w:val="000000"/>
                <w:kern w:val="0"/>
                <w:szCs w:val="21"/>
              </w:rPr>
              <w:tab/>
            </w:r>
            <w:r>
              <w:rPr>
                <w:rFonts w:ascii="宋体" w:hAnsi="宋体" w:cs="宋体"/>
                <w:color w:val="000000"/>
                <w:kern w:val="0"/>
                <w:szCs w:val="21"/>
              </w:rPr>
              <w:t>1100</w:t>
            </w:r>
            <w:r>
              <w:rPr>
                <w:rFonts w:ascii="宋体" w:hAnsi="宋体" w:cs="宋体"/>
                <w:color w:val="000000"/>
                <w:kern w:val="0"/>
                <w:szCs w:val="21"/>
              </w:rPr>
              <w:tab/>
            </w:r>
            <w:r>
              <w:rPr>
                <w:rFonts w:ascii="宋体" w:hAnsi="宋体" w:cs="宋体"/>
                <w:color w:val="000000"/>
                <w:kern w:val="0"/>
                <w:szCs w:val="21"/>
              </w:rPr>
              <w:t>4400</w:t>
            </w:r>
            <w:r>
              <w:rPr>
                <w:rFonts w:ascii="宋体" w:hAnsi="宋体" w:cs="宋体"/>
                <w:color w:val="000000"/>
                <w:kern w:val="0"/>
                <w:szCs w:val="21"/>
              </w:rPr>
              <w:tab/>
            </w:r>
            <w:r>
              <w:rPr>
                <w:rFonts w:ascii="宋体" w:hAnsi="宋体" w:cs="宋体"/>
                <w:color w:val="000000"/>
                <w:kern w:val="0"/>
                <w:szCs w:val="21"/>
              </w:rPr>
              <w:t>CS-305</w:t>
            </w:r>
          </w:p>
          <w:p>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ab/>
            </w:r>
            <w:r>
              <w:rPr>
                <w:rFonts w:ascii="宋体" w:hAnsi="宋体" w:cs="宋体"/>
                <w:color w:val="000000"/>
                <w:kern w:val="0"/>
                <w:szCs w:val="21"/>
              </w:rPr>
              <w:t>专业后级功放</w:t>
            </w:r>
            <w:r>
              <w:rPr>
                <w:rFonts w:ascii="宋体" w:hAnsi="宋体" w:cs="宋体"/>
                <w:color w:val="000000"/>
                <w:kern w:val="0"/>
                <w:szCs w:val="21"/>
              </w:rPr>
              <w:tab/>
            </w:r>
            <w:r>
              <w:rPr>
                <w:rFonts w:ascii="宋体" w:hAnsi="宋体" w:cs="宋体"/>
                <w:color w:val="000000"/>
                <w:kern w:val="0"/>
                <w:szCs w:val="21"/>
              </w:rPr>
              <w:t>HM AUDIO</w:t>
            </w:r>
            <w:r>
              <w:rPr>
                <w:rFonts w:ascii="宋体" w:hAnsi="宋体" w:cs="宋体"/>
                <w:color w:val="000000"/>
                <w:kern w:val="0"/>
                <w:szCs w:val="21"/>
              </w:rPr>
              <w:tab/>
            </w:r>
            <w:r>
              <w:rPr>
                <w:rFonts w:ascii="宋体" w:hAnsi="宋体" w:cs="宋体"/>
                <w:color w:val="000000"/>
                <w:kern w:val="0"/>
                <w:szCs w:val="21"/>
              </w:rPr>
              <w:t>台</w:t>
            </w:r>
            <w:r>
              <w:rPr>
                <w:rFonts w:ascii="宋体" w:hAnsi="宋体" w:cs="宋体"/>
                <w:color w:val="000000"/>
                <w:kern w:val="0"/>
                <w:szCs w:val="21"/>
              </w:rPr>
              <w:tab/>
            </w:r>
            <w:r>
              <w:rPr>
                <w:rFonts w:ascii="宋体" w:hAnsi="宋体" w:cs="宋体"/>
                <w:color w:val="000000"/>
                <w:kern w:val="0"/>
                <w:szCs w:val="21"/>
              </w:rPr>
              <w:t>1</w:t>
            </w:r>
            <w:r>
              <w:rPr>
                <w:rFonts w:ascii="宋体" w:hAnsi="宋体" w:cs="宋体"/>
                <w:color w:val="000000"/>
                <w:kern w:val="0"/>
                <w:szCs w:val="21"/>
              </w:rPr>
              <w:tab/>
            </w:r>
            <w:r>
              <w:rPr>
                <w:rFonts w:ascii="宋体" w:hAnsi="宋体" w:cs="宋体"/>
                <w:color w:val="000000"/>
                <w:kern w:val="0"/>
                <w:szCs w:val="21"/>
              </w:rPr>
              <w:t>3200</w:t>
            </w:r>
            <w:r>
              <w:rPr>
                <w:rFonts w:ascii="宋体" w:hAnsi="宋体" w:cs="宋体"/>
                <w:color w:val="000000"/>
                <w:kern w:val="0"/>
                <w:szCs w:val="21"/>
              </w:rPr>
              <w:tab/>
            </w:r>
            <w:r>
              <w:rPr>
                <w:rFonts w:ascii="宋体" w:hAnsi="宋体" w:cs="宋体"/>
                <w:color w:val="000000"/>
                <w:kern w:val="0"/>
                <w:szCs w:val="21"/>
              </w:rPr>
              <w:t>3200</w:t>
            </w:r>
            <w:r>
              <w:rPr>
                <w:rFonts w:ascii="宋体" w:hAnsi="宋体" w:cs="宋体"/>
                <w:color w:val="000000"/>
                <w:kern w:val="0"/>
                <w:szCs w:val="21"/>
              </w:rPr>
              <w:tab/>
            </w:r>
            <w:r>
              <w:rPr>
                <w:rFonts w:ascii="宋体" w:hAnsi="宋体" w:cs="宋体"/>
                <w:color w:val="000000"/>
                <w:kern w:val="0"/>
                <w:szCs w:val="21"/>
              </w:rPr>
              <w:t>P2300</w:t>
            </w:r>
          </w:p>
          <w:p>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ab/>
            </w:r>
            <w:r>
              <w:rPr>
                <w:rFonts w:ascii="宋体" w:hAnsi="宋体" w:cs="宋体"/>
                <w:color w:val="000000"/>
                <w:kern w:val="0"/>
                <w:szCs w:val="21"/>
              </w:rPr>
              <w:t>调音台</w:t>
            </w:r>
            <w:r>
              <w:rPr>
                <w:rFonts w:ascii="宋体" w:hAnsi="宋体" w:cs="宋体"/>
                <w:color w:val="000000"/>
                <w:kern w:val="0"/>
                <w:szCs w:val="21"/>
              </w:rPr>
              <w:tab/>
            </w:r>
            <w:r>
              <w:rPr>
                <w:rFonts w:ascii="宋体" w:hAnsi="宋体" w:cs="宋体"/>
                <w:color w:val="000000"/>
                <w:kern w:val="0"/>
                <w:szCs w:val="21"/>
              </w:rPr>
              <w:t>YAMAHA</w:t>
            </w:r>
            <w:r>
              <w:rPr>
                <w:rFonts w:ascii="宋体" w:hAnsi="宋体" w:cs="宋体"/>
                <w:color w:val="000000"/>
                <w:kern w:val="0"/>
                <w:szCs w:val="21"/>
              </w:rPr>
              <w:tab/>
            </w:r>
            <w:r>
              <w:rPr>
                <w:rFonts w:ascii="宋体" w:hAnsi="宋体" w:cs="宋体"/>
                <w:color w:val="000000"/>
                <w:kern w:val="0"/>
                <w:szCs w:val="21"/>
              </w:rPr>
              <w:t>台</w:t>
            </w:r>
            <w:r>
              <w:rPr>
                <w:rFonts w:ascii="宋体" w:hAnsi="宋体" w:cs="宋体"/>
                <w:color w:val="000000"/>
                <w:kern w:val="0"/>
                <w:szCs w:val="21"/>
              </w:rPr>
              <w:tab/>
            </w:r>
            <w:r>
              <w:rPr>
                <w:rFonts w:ascii="宋体" w:hAnsi="宋体" w:cs="宋体"/>
                <w:color w:val="000000"/>
                <w:kern w:val="0"/>
                <w:szCs w:val="21"/>
              </w:rPr>
              <w:t>1</w:t>
            </w:r>
            <w:r>
              <w:rPr>
                <w:rFonts w:ascii="宋体" w:hAnsi="宋体" w:cs="宋体"/>
                <w:color w:val="000000"/>
                <w:kern w:val="0"/>
                <w:szCs w:val="21"/>
              </w:rPr>
              <w:tab/>
            </w:r>
            <w:r>
              <w:rPr>
                <w:rFonts w:ascii="宋体" w:hAnsi="宋体" w:cs="宋体"/>
                <w:color w:val="000000"/>
                <w:kern w:val="0"/>
                <w:szCs w:val="21"/>
              </w:rPr>
              <w:t>4500</w:t>
            </w:r>
            <w:r>
              <w:rPr>
                <w:rFonts w:ascii="宋体" w:hAnsi="宋体" w:cs="宋体"/>
                <w:color w:val="000000"/>
                <w:kern w:val="0"/>
                <w:szCs w:val="21"/>
              </w:rPr>
              <w:tab/>
            </w:r>
            <w:r>
              <w:rPr>
                <w:rFonts w:ascii="宋体" w:hAnsi="宋体" w:cs="宋体"/>
                <w:color w:val="000000"/>
                <w:kern w:val="0"/>
                <w:szCs w:val="21"/>
              </w:rPr>
              <w:t>4500</w:t>
            </w:r>
            <w:r>
              <w:rPr>
                <w:rFonts w:ascii="宋体" w:hAnsi="宋体" w:cs="宋体"/>
                <w:color w:val="000000"/>
                <w:kern w:val="0"/>
                <w:szCs w:val="21"/>
              </w:rPr>
              <w:tab/>
            </w:r>
            <w:r>
              <w:rPr>
                <w:rFonts w:ascii="宋体" w:hAnsi="宋体" w:cs="宋体"/>
                <w:color w:val="000000"/>
                <w:kern w:val="0"/>
                <w:szCs w:val="21"/>
              </w:rPr>
              <w:t>12XU</w:t>
            </w:r>
          </w:p>
          <w:p>
            <w:pPr>
              <w:widowControl/>
              <w:jc w:val="left"/>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ab/>
            </w:r>
            <w:r>
              <w:rPr>
                <w:rFonts w:ascii="宋体" w:hAnsi="宋体" w:cs="宋体"/>
                <w:color w:val="000000"/>
                <w:kern w:val="0"/>
                <w:szCs w:val="21"/>
              </w:rPr>
              <w:t>电源时序器</w:t>
            </w:r>
            <w:r>
              <w:rPr>
                <w:rFonts w:ascii="宋体" w:hAnsi="宋体" w:cs="宋体"/>
                <w:color w:val="000000"/>
                <w:kern w:val="0"/>
                <w:szCs w:val="21"/>
              </w:rPr>
              <w:tab/>
            </w:r>
            <w:r>
              <w:rPr>
                <w:rFonts w:ascii="宋体" w:hAnsi="宋体" w:cs="宋体"/>
                <w:color w:val="000000"/>
                <w:kern w:val="0"/>
                <w:szCs w:val="21"/>
              </w:rPr>
              <w:t>ABL</w:t>
            </w:r>
            <w:r>
              <w:rPr>
                <w:rFonts w:ascii="宋体" w:hAnsi="宋体" w:cs="宋体"/>
                <w:color w:val="000000"/>
                <w:kern w:val="0"/>
                <w:szCs w:val="21"/>
              </w:rPr>
              <w:tab/>
            </w:r>
            <w:r>
              <w:rPr>
                <w:rFonts w:ascii="宋体" w:hAnsi="宋体" w:cs="宋体"/>
                <w:color w:val="000000"/>
                <w:kern w:val="0"/>
                <w:szCs w:val="21"/>
              </w:rPr>
              <w:t>台</w:t>
            </w:r>
            <w:r>
              <w:rPr>
                <w:rFonts w:ascii="宋体" w:hAnsi="宋体" w:cs="宋体"/>
                <w:color w:val="000000"/>
                <w:kern w:val="0"/>
                <w:szCs w:val="21"/>
              </w:rPr>
              <w:tab/>
            </w:r>
            <w:r>
              <w:rPr>
                <w:rFonts w:ascii="宋体" w:hAnsi="宋体" w:cs="宋体"/>
                <w:color w:val="000000"/>
                <w:kern w:val="0"/>
                <w:szCs w:val="21"/>
              </w:rPr>
              <w:t>1</w:t>
            </w:r>
            <w:r>
              <w:rPr>
                <w:rFonts w:ascii="宋体" w:hAnsi="宋体" w:cs="宋体"/>
                <w:color w:val="000000"/>
                <w:kern w:val="0"/>
                <w:szCs w:val="21"/>
              </w:rPr>
              <w:tab/>
            </w:r>
            <w:r>
              <w:rPr>
                <w:rFonts w:ascii="宋体" w:hAnsi="宋体" w:cs="宋体"/>
                <w:color w:val="000000"/>
                <w:kern w:val="0"/>
                <w:szCs w:val="21"/>
              </w:rPr>
              <w:t>1400</w:t>
            </w:r>
            <w:r>
              <w:rPr>
                <w:rFonts w:ascii="宋体" w:hAnsi="宋体" w:cs="宋体"/>
                <w:color w:val="000000"/>
                <w:kern w:val="0"/>
                <w:szCs w:val="21"/>
              </w:rPr>
              <w:tab/>
            </w:r>
            <w:r>
              <w:rPr>
                <w:rFonts w:ascii="宋体" w:hAnsi="宋体" w:cs="宋体"/>
                <w:color w:val="000000"/>
                <w:kern w:val="0"/>
                <w:szCs w:val="21"/>
              </w:rPr>
              <w:t>1400</w:t>
            </w:r>
            <w:r>
              <w:rPr>
                <w:rFonts w:ascii="宋体" w:hAnsi="宋体" w:cs="宋体"/>
                <w:color w:val="000000"/>
                <w:kern w:val="0"/>
                <w:szCs w:val="21"/>
              </w:rPr>
              <w:tab/>
            </w:r>
            <w:r>
              <w:rPr>
                <w:rFonts w:ascii="宋体" w:hAnsi="宋体" w:cs="宋体"/>
                <w:color w:val="000000"/>
                <w:kern w:val="0"/>
                <w:szCs w:val="21"/>
              </w:rPr>
              <w:t>1008I</w:t>
            </w:r>
          </w:p>
          <w:p>
            <w:pPr>
              <w:widowControl/>
              <w:jc w:val="left"/>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ab/>
            </w:r>
            <w:r>
              <w:rPr>
                <w:rFonts w:ascii="宋体" w:hAnsi="宋体" w:cs="宋体"/>
                <w:color w:val="000000"/>
                <w:kern w:val="0"/>
                <w:szCs w:val="21"/>
              </w:rPr>
              <w:t>反馈抑制器</w:t>
            </w:r>
            <w:r>
              <w:rPr>
                <w:rFonts w:ascii="宋体" w:hAnsi="宋体" w:cs="宋体"/>
                <w:color w:val="000000"/>
                <w:kern w:val="0"/>
                <w:szCs w:val="21"/>
              </w:rPr>
              <w:tab/>
            </w:r>
            <w:r>
              <w:rPr>
                <w:rFonts w:ascii="宋体" w:hAnsi="宋体" w:cs="宋体"/>
                <w:color w:val="000000"/>
                <w:kern w:val="0"/>
                <w:szCs w:val="21"/>
              </w:rPr>
              <w:t>HTDZ</w:t>
            </w:r>
            <w:r>
              <w:rPr>
                <w:rFonts w:ascii="宋体" w:hAnsi="宋体" w:cs="宋体"/>
                <w:color w:val="000000"/>
                <w:kern w:val="0"/>
                <w:szCs w:val="21"/>
              </w:rPr>
              <w:tab/>
            </w:r>
            <w:r>
              <w:rPr>
                <w:rFonts w:ascii="宋体" w:hAnsi="宋体" w:cs="宋体"/>
                <w:color w:val="000000"/>
                <w:kern w:val="0"/>
                <w:szCs w:val="21"/>
              </w:rPr>
              <w:t>台</w:t>
            </w:r>
            <w:r>
              <w:rPr>
                <w:rFonts w:ascii="宋体" w:hAnsi="宋体" w:cs="宋体"/>
                <w:color w:val="000000"/>
                <w:kern w:val="0"/>
                <w:szCs w:val="21"/>
              </w:rPr>
              <w:tab/>
            </w:r>
            <w:r>
              <w:rPr>
                <w:rFonts w:ascii="宋体" w:hAnsi="宋体" w:cs="宋体"/>
                <w:color w:val="000000"/>
                <w:kern w:val="0"/>
                <w:szCs w:val="21"/>
              </w:rPr>
              <w:t>1</w:t>
            </w:r>
            <w:r>
              <w:rPr>
                <w:rFonts w:ascii="宋体" w:hAnsi="宋体" w:cs="宋体"/>
                <w:color w:val="000000"/>
                <w:kern w:val="0"/>
                <w:szCs w:val="21"/>
              </w:rPr>
              <w:tab/>
            </w:r>
            <w:r>
              <w:rPr>
                <w:rFonts w:ascii="宋体" w:hAnsi="宋体" w:cs="宋体"/>
                <w:color w:val="000000"/>
                <w:kern w:val="0"/>
                <w:szCs w:val="21"/>
              </w:rPr>
              <w:t>2200</w:t>
            </w:r>
            <w:r>
              <w:rPr>
                <w:rFonts w:ascii="宋体" w:hAnsi="宋体" w:cs="宋体"/>
                <w:color w:val="000000"/>
                <w:kern w:val="0"/>
                <w:szCs w:val="21"/>
              </w:rPr>
              <w:tab/>
            </w:r>
            <w:r>
              <w:rPr>
                <w:rFonts w:ascii="宋体" w:hAnsi="宋体" w:cs="宋体"/>
                <w:color w:val="000000"/>
                <w:kern w:val="0"/>
                <w:szCs w:val="21"/>
              </w:rPr>
              <w:t>2200</w:t>
            </w:r>
            <w:r>
              <w:rPr>
                <w:rFonts w:ascii="宋体" w:hAnsi="宋体" w:cs="宋体"/>
                <w:color w:val="000000"/>
                <w:kern w:val="0"/>
                <w:szCs w:val="21"/>
              </w:rPr>
              <w:tab/>
            </w:r>
            <w:r>
              <w:rPr>
                <w:rFonts w:ascii="宋体" w:hAnsi="宋体" w:cs="宋体"/>
                <w:color w:val="000000"/>
                <w:kern w:val="0"/>
                <w:szCs w:val="21"/>
              </w:rPr>
              <w:t>HT-2200</w:t>
            </w:r>
          </w:p>
          <w:p>
            <w:pPr>
              <w:widowControl/>
              <w:jc w:val="left"/>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ab/>
            </w:r>
            <w:r>
              <w:rPr>
                <w:rFonts w:ascii="宋体" w:hAnsi="宋体" w:cs="宋体"/>
                <w:color w:val="000000"/>
                <w:kern w:val="0"/>
                <w:szCs w:val="21"/>
              </w:rPr>
              <w:t>会议主机</w:t>
            </w:r>
            <w:r>
              <w:rPr>
                <w:rFonts w:ascii="宋体" w:hAnsi="宋体" w:cs="宋体"/>
                <w:color w:val="000000"/>
                <w:kern w:val="0"/>
                <w:szCs w:val="21"/>
              </w:rPr>
              <w:tab/>
            </w:r>
            <w:r>
              <w:rPr>
                <w:rFonts w:ascii="宋体" w:hAnsi="宋体" w:cs="宋体"/>
                <w:color w:val="000000"/>
                <w:kern w:val="0"/>
                <w:szCs w:val="21"/>
              </w:rPr>
              <w:t>HTDZ</w:t>
            </w:r>
            <w:r>
              <w:rPr>
                <w:rFonts w:ascii="宋体" w:hAnsi="宋体" w:cs="宋体"/>
                <w:color w:val="000000"/>
                <w:kern w:val="0"/>
                <w:szCs w:val="21"/>
              </w:rPr>
              <w:tab/>
            </w:r>
            <w:r>
              <w:rPr>
                <w:rFonts w:ascii="宋体" w:hAnsi="宋体" w:cs="宋体"/>
                <w:color w:val="000000"/>
                <w:kern w:val="0"/>
                <w:szCs w:val="21"/>
              </w:rPr>
              <w:t>台</w:t>
            </w:r>
            <w:r>
              <w:rPr>
                <w:rFonts w:ascii="宋体" w:hAnsi="宋体" w:cs="宋体"/>
                <w:color w:val="000000"/>
                <w:kern w:val="0"/>
                <w:szCs w:val="21"/>
              </w:rPr>
              <w:tab/>
            </w:r>
            <w:r>
              <w:rPr>
                <w:rFonts w:ascii="宋体" w:hAnsi="宋体" w:cs="宋体"/>
                <w:color w:val="000000"/>
                <w:kern w:val="0"/>
                <w:szCs w:val="21"/>
              </w:rPr>
              <w:t>1</w:t>
            </w:r>
            <w:r>
              <w:rPr>
                <w:rFonts w:ascii="宋体" w:hAnsi="宋体" w:cs="宋体"/>
                <w:color w:val="000000"/>
                <w:kern w:val="0"/>
                <w:szCs w:val="21"/>
              </w:rPr>
              <w:tab/>
            </w:r>
            <w:r>
              <w:rPr>
                <w:rFonts w:ascii="宋体" w:hAnsi="宋体" w:cs="宋体"/>
                <w:color w:val="000000"/>
                <w:kern w:val="0"/>
                <w:szCs w:val="21"/>
              </w:rPr>
              <w:t>3500</w:t>
            </w:r>
            <w:r>
              <w:rPr>
                <w:rFonts w:ascii="宋体" w:hAnsi="宋体" w:cs="宋体"/>
                <w:color w:val="000000"/>
                <w:kern w:val="0"/>
                <w:szCs w:val="21"/>
              </w:rPr>
              <w:tab/>
            </w:r>
            <w:r>
              <w:rPr>
                <w:rFonts w:ascii="宋体" w:hAnsi="宋体" w:cs="宋体"/>
                <w:color w:val="000000"/>
                <w:kern w:val="0"/>
                <w:szCs w:val="21"/>
              </w:rPr>
              <w:t>3500</w:t>
            </w:r>
            <w:r>
              <w:rPr>
                <w:rFonts w:ascii="宋体" w:hAnsi="宋体" w:cs="宋体"/>
                <w:color w:val="000000"/>
                <w:kern w:val="0"/>
                <w:szCs w:val="21"/>
              </w:rPr>
              <w:tab/>
            </w:r>
            <w:r>
              <w:rPr>
                <w:rFonts w:ascii="宋体" w:hAnsi="宋体" w:cs="宋体"/>
                <w:color w:val="000000"/>
                <w:kern w:val="0"/>
                <w:szCs w:val="21"/>
              </w:rPr>
              <w:t>HT3300</w:t>
            </w:r>
          </w:p>
          <w:p>
            <w:pPr>
              <w:widowControl/>
              <w:jc w:val="left"/>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ab/>
            </w:r>
            <w:r>
              <w:rPr>
                <w:rFonts w:ascii="宋体" w:hAnsi="宋体" w:cs="宋体"/>
                <w:color w:val="000000"/>
                <w:kern w:val="0"/>
                <w:szCs w:val="21"/>
              </w:rPr>
              <w:t>会议主席单元</w:t>
            </w:r>
            <w:r>
              <w:rPr>
                <w:rFonts w:ascii="宋体" w:hAnsi="宋体" w:cs="宋体"/>
                <w:color w:val="000000"/>
                <w:kern w:val="0"/>
                <w:szCs w:val="21"/>
              </w:rPr>
              <w:tab/>
            </w:r>
            <w:r>
              <w:rPr>
                <w:rFonts w:ascii="宋体" w:hAnsi="宋体" w:cs="宋体"/>
                <w:color w:val="000000"/>
                <w:kern w:val="0"/>
                <w:szCs w:val="21"/>
              </w:rPr>
              <w:t>HTDZ</w:t>
            </w:r>
            <w:r>
              <w:rPr>
                <w:rFonts w:ascii="宋体" w:hAnsi="宋体" w:cs="宋体"/>
                <w:color w:val="000000"/>
                <w:kern w:val="0"/>
                <w:szCs w:val="21"/>
              </w:rPr>
              <w:tab/>
            </w:r>
            <w:r>
              <w:rPr>
                <w:rFonts w:ascii="宋体" w:hAnsi="宋体" w:cs="宋体"/>
                <w:color w:val="000000"/>
                <w:kern w:val="0"/>
                <w:szCs w:val="21"/>
              </w:rPr>
              <w:t>个</w:t>
            </w:r>
            <w:r>
              <w:rPr>
                <w:rFonts w:ascii="宋体" w:hAnsi="宋体" w:cs="宋体"/>
                <w:color w:val="000000"/>
                <w:kern w:val="0"/>
                <w:szCs w:val="21"/>
              </w:rPr>
              <w:tab/>
            </w:r>
            <w:r>
              <w:rPr>
                <w:rFonts w:ascii="宋体" w:hAnsi="宋体" w:cs="宋体"/>
                <w:color w:val="000000"/>
                <w:kern w:val="0"/>
                <w:szCs w:val="21"/>
              </w:rPr>
              <w:t>1</w:t>
            </w:r>
            <w:r>
              <w:rPr>
                <w:rFonts w:ascii="宋体" w:hAnsi="宋体" w:cs="宋体"/>
                <w:color w:val="000000"/>
                <w:kern w:val="0"/>
                <w:szCs w:val="21"/>
              </w:rPr>
              <w:tab/>
            </w:r>
            <w:r>
              <w:rPr>
                <w:rFonts w:ascii="宋体" w:hAnsi="宋体" w:cs="宋体"/>
                <w:color w:val="000000"/>
                <w:kern w:val="0"/>
                <w:szCs w:val="21"/>
              </w:rPr>
              <w:t>1350</w:t>
            </w:r>
            <w:r>
              <w:rPr>
                <w:rFonts w:ascii="宋体" w:hAnsi="宋体" w:cs="宋体"/>
                <w:color w:val="000000"/>
                <w:kern w:val="0"/>
                <w:szCs w:val="21"/>
              </w:rPr>
              <w:tab/>
            </w:r>
            <w:r>
              <w:rPr>
                <w:rFonts w:ascii="宋体" w:hAnsi="宋体" w:cs="宋体"/>
                <w:color w:val="000000"/>
                <w:kern w:val="0"/>
                <w:szCs w:val="21"/>
              </w:rPr>
              <w:t>1350</w:t>
            </w:r>
            <w:r>
              <w:rPr>
                <w:rFonts w:ascii="宋体" w:hAnsi="宋体" w:cs="宋体"/>
                <w:color w:val="000000"/>
                <w:kern w:val="0"/>
                <w:szCs w:val="21"/>
              </w:rPr>
              <w:tab/>
            </w:r>
            <w:r>
              <w:rPr>
                <w:rFonts w:ascii="宋体" w:hAnsi="宋体" w:cs="宋体"/>
                <w:color w:val="000000"/>
                <w:kern w:val="0"/>
                <w:szCs w:val="21"/>
              </w:rPr>
              <w:t>HT-8210C</w:t>
            </w:r>
          </w:p>
          <w:p>
            <w:pPr>
              <w:widowControl/>
              <w:jc w:val="left"/>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ab/>
            </w:r>
            <w:r>
              <w:rPr>
                <w:rFonts w:ascii="宋体" w:hAnsi="宋体" w:cs="宋体"/>
                <w:color w:val="000000"/>
                <w:kern w:val="0"/>
                <w:szCs w:val="21"/>
              </w:rPr>
              <w:t>会议代表单元</w:t>
            </w:r>
            <w:r>
              <w:rPr>
                <w:rFonts w:ascii="宋体" w:hAnsi="宋体" w:cs="宋体"/>
                <w:color w:val="000000"/>
                <w:kern w:val="0"/>
                <w:szCs w:val="21"/>
              </w:rPr>
              <w:tab/>
            </w:r>
            <w:r>
              <w:rPr>
                <w:rFonts w:ascii="宋体" w:hAnsi="宋体" w:cs="宋体"/>
                <w:color w:val="000000"/>
                <w:kern w:val="0"/>
                <w:szCs w:val="21"/>
              </w:rPr>
              <w:t>HTDZ</w:t>
            </w:r>
            <w:r>
              <w:rPr>
                <w:rFonts w:ascii="宋体" w:hAnsi="宋体" w:cs="宋体"/>
                <w:color w:val="000000"/>
                <w:kern w:val="0"/>
                <w:szCs w:val="21"/>
              </w:rPr>
              <w:tab/>
            </w:r>
            <w:r>
              <w:rPr>
                <w:rFonts w:ascii="宋体" w:hAnsi="宋体" w:cs="宋体"/>
                <w:color w:val="000000"/>
                <w:kern w:val="0"/>
                <w:szCs w:val="21"/>
              </w:rPr>
              <w:t>个</w:t>
            </w:r>
            <w:r>
              <w:rPr>
                <w:rFonts w:ascii="宋体" w:hAnsi="宋体" w:cs="宋体"/>
                <w:color w:val="000000"/>
                <w:kern w:val="0"/>
                <w:szCs w:val="21"/>
              </w:rPr>
              <w:tab/>
            </w:r>
            <w:r>
              <w:rPr>
                <w:rFonts w:ascii="宋体" w:hAnsi="宋体" w:cs="宋体"/>
                <w:color w:val="000000"/>
                <w:kern w:val="0"/>
                <w:szCs w:val="21"/>
              </w:rPr>
              <w:t>4</w:t>
            </w:r>
            <w:r>
              <w:rPr>
                <w:rFonts w:ascii="宋体" w:hAnsi="宋体" w:cs="宋体"/>
                <w:color w:val="000000"/>
                <w:kern w:val="0"/>
                <w:szCs w:val="21"/>
              </w:rPr>
              <w:tab/>
            </w:r>
            <w:r>
              <w:rPr>
                <w:rFonts w:ascii="宋体" w:hAnsi="宋体" w:cs="宋体"/>
                <w:color w:val="000000"/>
                <w:kern w:val="0"/>
                <w:szCs w:val="21"/>
              </w:rPr>
              <w:t>1100</w:t>
            </w:r>
            <w:r>
              <w:rPr>
                <w:rFonts w:ascii="宋体" w:hAnsi="宋体" w:cs="宋体"/>
                <w:color w:val="000000"/>
                <w:kern w:val="0"/>
                <w:szCs w:val="21"/>
              </w:rPr>
              <w:tab/>
            </w:r>
            <w:r>
              <w:rPr>
                <w:rFonts w:ascii="宋体" w:hAnsi="宋体" w:cs="宋体"/>
                <w:color w:val="000000"/>
                <w:kern w:val="0"/>
                <w:szCs w:val="21"/>
              </w:rPr>
              <w:t>4400</w:t>
            </w:r>
            <w:r>
              <w:rPr>
                <w:rFonts w:ascii="宋体" w:hAnsi="宋体" w:cs="宋体"/>
                <w:color w:val="000000"/>
                <w:kern w:val="0"/>
                <w:szCs w:val="21"/>
              </w:rPr>
              <w:tab/>
            </w:r>
            <w:r>
              <w:rPr>
                <w:rFonts w:ascii="宋体" w:hAnsi="宋体" w:cs="宋体"/>
                <w:color w:val="000000"/>
                <w:kern w:val="0"/>
                <w:szCs w:val="21"/>
              </w:rPr>
              <w:t>HT-8210D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70100220GXS0009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销售厅及办公楼维保费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30.10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1、销售厅维修费4万元，4个销售厅预计1万元每个</w:t>
            </w:r>
          </w:p>
          <w:p>
            <w:pPr>
              <w:widowControl/>
              <w:jc w:val="left"/>
              <w:rPr>
                <w:rFonts w:ascii="宋体" w:hAnsi="宋体" w:cs="宋体"/>
                <w:color w:val="000000"/>
                <w:kern w:val="0"/>
                <w:szCs w:val="21"/>
              </w:rPr>
            </w:pPr>
            <w:r>
              <w:rPr>
                <w:rFonts w:ascii="宋体" w:hAnsi="宋体" w:cs="宋体"/>
                <w:color w:val="000000"/>
                <w:kern w:val="0"/>
                <w:szCs w:val="21"/>
              </w:rPr>
              <w:t>2、空调、电梯、消防等维保、配件费用26.10万元，其中空调维保5万元，空调、电梯消防等配件2万元，机房保养4.5万、主机保养4.8，消防维保5.6万元，消防检测1.2万元，电器检测1.2万元；电梯维保1万元，电梯检测0.4万元，防雷检测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70100220GXS0011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清理化粪池</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清理化粪池</w:t>
            </w:r>
            <w:r>
              <w:rPr>
                <w:rFonts w:ascii="宋体" w:hAnsi="宋体" w:cs="宋体"/>
                <w:color w:val="000000"/>
                <w:kern w:val="0"/>
                <w:szCs w:val="21"/>
              </w:rPr>
              <w:t>4次，每次0.2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70100220GXS0012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销售厅及会议室装修改造</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两个销售厅及</w:t>
            </w:r>
            <w:r>
              <w:rPr>
                <w:rFonts w:ascii="宋体" w:hAnsi="宋体" w:cs="宋体"/>
                <w:color w:val="000000"/>
                <w:kern w:val="0"/>
                <w:szCs w:val="21"/>
              </w:rPr>
              <w:t>1个会议室装修改造3*5=15万元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70100220GXS0013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唐山市按摩医院综合服务楼工程尾款</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50.69</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唐山市按摩医院综合服务楼工程尾款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70100220GPX0003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培训费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19.45</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1、北戴河培训10万</w:t>
            </w:r>
          </w:p>
          <w:p>
            <w:pPr>
              <w:widowControl/>
              <w:jc w:val="left"/>
              <w:rPr>
                <w:rFonts w:ascii="宋体" w:hAnsi="宋体" w:cs="宋体"/>
                <w:color w:val="000000"/>
                <w:kern w:val="0"/>
                <w:szCs w:val="21"/>
              </w:rPr>
            </w:pPr>
            <w:r>
              <w:rPr>
                <w:rFonts w:ascii="宋体" w:hAnsi="宋体" w:cs="宋体"/>
                <w:color w:val="000000"/>
                <w:kern w:val="0"/>
                <w:szCs w:val="21"/>
              </w:rPr>
              <w:t>2、对投注站培训：3次，50人*2天，每年市场部、即开部合计3次，住宿费150*50*3=2.25万元、伙食费30*50*4*3=1.8万元，场地费100*2*50*3=3万元，资料费60*50*3=0.9万元，共计7.95万元</w:t>
            </w:r>
          </w:p>
          <w:p>
            <w:pPr>
              <w:widowControl/>
              <w:jc w:val="left"/>
              <w:rPr>
                <w:rFonts w:ascii="宋体" w:hAnsi="宋体" w:cs="宋体"/>
                <w:color w:val="000000"/>
                <w:kern w:val="0"/>
                <w:szCs w:val="21"/>
              </w:rPr>
            </w:pPr>
            <w:r>
              <w:rPr>
                <w:rFonts w:ascii="宋体" w:hAnsi="宋体" w:cs="宋体"/>
                <w:color w:val="000000"/>
                <w:kern w:val="0"/>
                <w:szCs w:val="21"/>
              </w:rPr>
              <w:t>3、交通费：去北戴河租大客车及去北京即开、双色球开奖现场等交通费1.5万元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70100220GWH0001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网络维护费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9.35</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1、邮电费5万、包括17部电话费、上网费、投注站专线费及销售厅公安局联网费</w:t>
            </w:r>
          </w:p>
          <w:p>
            <w:pPr>
              <w:widowControl/>
              <w:jc w:val="left"/>
              <w:rPr>
                <w:rFonts w:ascii="宋体" w:hAnsi="宋体" w:cs="宋体"/>
                <w:color w:val="000000"/>
                <w:kern w:val="0"/>
                <w:szCs w:val="21"/>
              </w:rPr>
            </w:pPr>
            <w:r>
              <w:rPr>
                <w:rFonts w:ascii="宋体" w:hAnsi="宋体" w:cs="宋体"/>
                <w:color w:val="000000"/>
                <w:kern w:val="0"/>
                <w:szCs w:val="21"/>
              </w:rPr>
              <w:t>2、租赁网站维护费1.35万</w:t>
            </w:r>
          </w:p>
          <w:p>
            <w:pPr>
              <w:widowControl/>
              <w:jc w:val="left"/>
              <w:rPr>
                <w:rFonts w:ascii="宋体" w:hAnsi="宋体" w:cs="宋体"/>
                <w:color w:val="000000"/>
                <w:kern w:val="0"/>
                <w:szCs w:val="21"/>
              </w:rPr>
            </w:pPr>
            <w:r>
              <w:rPr>
                <w:rFonts w:ascii="宋体" w:hAnsi="宋体" w:cs="宋体"/>
                <w:color w:val="000000"/>
                <w:kern w:val="0"/>
                <w:szCs w:val="21"/>
              </w:rPr>
              <w:t>3、即开票运费3万元，额外订票12次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70100220GXC0004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广告费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广告费全年</w:t>
            </w:r>
            <w:r>
              <w:rPr>
                <w:rFonts w:ascii="宋体" w:hAnsi="宋体" w:cs="宋体"/>
                <w:color w:val="000000"/>
                <w:kern w:val="0"/>
                <w:szCs w:val="21"/>
              </w:rPr>
              <w:t>50万元，预计全年10次，每次5万元，主要为车载、电梯、LED屏等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70100220GXC0005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市场营销及宣传推广费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115.10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1、印刷宣传品折扇、彩票袋等15万元</w:t>
            </w:r>
          </w:p>
          <w:p>
            <w:pPr>
              <w:widowControl/>
              <w:jc w:val="left"/>
              <w:rPr>
                <w:rFonts w:ascii="宋体" w:hAnsi="宋体" w:cs="宋体"/>
                <w:color w:val="000000"/>
                <w:kern w:val="0"/>
                <w:szCs w:val="21"/>
              </w:rPr>
            </w:pPr>
            <w:r>
              <w:rPr>
                <w:rFonts w:ascii="宋体" w:hAnsi="宋体" w:cs="宋体"/>
                <w:color w:val="000000"/>
                <w:kern w:val="0"/>
                <w:szCs w:val="21"/>
              </w:rPr>
              <w:t>2、双色球游戏买票赠票活动赠票款\即开返点,/销售厅促销共计78万元</w:t>
            </w:r>
          </w:p>
          <w:p>
            <w:pPr>
              <w:widowControl/>
              <w:jc w:val="left"/>
              <w:rPr>
                <w:rFonts w:ascii="宋体" w:hAnsi="宋体" w:cs="宋体"/>
                <w:color w:val="000000"/>
                <w:kern w:val="0"/>
                <w:szCs w:val="21"/>
              </w:rPr>
            </w:pPr>
            <w:r>
              <w:rPr>
                <w:rFonts w:ascii="宋体" w:hAnsi="宋体" w:cs="宋体"/>
                <w:color w:val="000000"/>
                <w:kern w:val="0"/>
                <w:szCs w:val="21"/>
              </w:rPr>
              <w:t>3、站点形象建设改造5个投注站10万元</w:t>
            </w:r>
          </w:p>
          <w:p>
            <w:pPr>
              <w:widowControl/>
              <w:jc w:val="left"/>
              <w:rPr>
                <w:rFonts w:ascii="宋体" w:hAnsi="宋体" w:cs="宋体"/>
                <w:color w:val="000000"/>
                <w:kern w:val="0"/>
                <w:szCs w:val="21"/>
              </w:rPr>
            </w:pPr>
            <w:r>
              <w:rPr>
                <w:rFonts w:ascii="宋体" w:hAnsi="宋体" w:cs="宋体"/>
                <w:color w:val="000000"/>
                <w:kern w:val="0"/>
                <w:szCs w:val="21"/>
              </w:rPr>
              <w:t>4、对年销量排名前10名站点给予奖励5万元</w:t>
            </w:r>
          </w:p>
          <w:p>
            <w:pPr>
              <w:widowControl/>
              <w:jc w:val="left"/>
              <w:rPr>
                <w:rFonts w:ascii="宋体" w:hAnsi="宋体" w:cs="宋体"/>
                <w:color w:val="000000"/>
                <w:kern w:val="0"/>
                <w:szCs w:val="21"/>
              </w:rPr>
            </w:pPr>
            <w:r>
              <w:rPr>
                <w:rFonts w:ascii="宋体" w:hAnsi="宋体" w:cs="宋体"/>
                <w:color w:val="000000"/>
                <w:kern w:val="0"/>
                <w:szCs w:val="21"/>
              </w:rPr>
              <w:t>5、对于站点中出大奖后的宣传补偿，按照每个站点一次2000元的标准，预计5万元</w:t>
            </w:r>
          </w:p>
          <w:p>
            <w:pPr>
              <w:widowControl/>
              <w:jc w:val="left"/>
              <w:rPr>
                <w:rFonts w:ascii="宋体" w:hAnsi="宋体" w:cs="宋体"/>
                <w:color w:val="000000"/>
                <w:kern w:val="0"/>
                <w:szCs w:val="21"/>
              </w:rPr>
            </w:pPr>
            <w:r>
              <w:rPr>
                <w:rFonts w:ascii="宋体" w:hAnsi="宋体" w:cs="宋体"/>
                <w:color w:val="000000"/>
                <w:kern w:val="0"/>
                <w:szCs w:val="21"/>
              </w:rPr>
              <w:t>6、打击私彩举报人奖励资金2.1万元，举报人提供有效影像资料，中心核实后将对举报人给予3000元现金奖励（每个涉及站点只奖励一名举报人）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70100220GZL0002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中福在线销售厅房租</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滦南销售厅</w:t>
            </w:r>
            <w:r>
              <w:rPr>
                <w:rFonts w:ascii="宋体" w:hAnsi="宋体" w:cs="宋体"/>
                <w:color w:val="000000"/>
                <w:kern w:val="0"/>
                <w:szCs w:val="21"/>
              </w:rPr>
              <w:t>6.8万，兴源道销售厅18万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70100220GZX0006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聘用人员工资及保险等费用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305.14</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1、聘用人员工资及保险费用288.78万元：44我，基本工资168万元，五险一金92.89万元，取暖费8万元，预计保险调基数19.89万元</w:t>
            </w:r>
          </w:p>
          <w:p>
            <w:pPr>
              <w:widowControl/>
              <w:jc w:val="left"/>
              <w:rPr>
                <w:rFonts w:ascii="宋体" w:hAnsi="宋体" w:cs="宋体"/>
                <w:color w:val="000000"/>
                <w:kern w:val="0"/>
                <w:szCs w:val="21"/>
              </w:rPr>
            </w:pPr>
            <w:r>
              <w:rPr>
                <w:rFonts w:ascii="宋体" w:hAnsi="宋体" w:cs="宋体"/>
                <w:color w:val="000000"/>
                <w:kern w:val="0"/>
                <w:szCs w:val="21"/>
              </w:rPr>
              <w:t>2、门卫、电工、后勤等人员劳务费16.36万元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70100220GZX0007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差旅交通物业等其他费用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1、4个销售厅物业费2万元</w:t>
            </w:r>
          </w:p>
          <w:p>
            <w:pPr>
              <w:widowControl/>
              <w:jc w:val="left"/>
              <w:rPr>
                <w:rFonts w:ascii="宋体" w:hAnsi="宋体" w:cs="宋体"/>
                <w:color w:val="000000"/>
                <w:kern w:val="0"/>
                <w:szCs w:val="21"/>
              </w:rPr>
            </w:pPr>
            <w:r>
              <w:rPr>
                <w:rFonts w:ascii="宋体" w:hAnsi="宋体" w:cs="宋体"/>
                <w:color w:val="000000"/>
                <w:kern w:val="0"/>
                <w:szCs w:val="21"/>
              </w:rPr>
              <w:t>2、财务年终审计销售厅办公费、报刊及各种杂费9万元</w:t>
            </w:r>
          </w:p>
          <w:p>
            <w:pPr>
              <w:widowControl/>
              <w:jc w:val="left"/>
              <w:rPr>
                <w:rFonts w:ascii="宋体" w:hAnsi="宋体" w:cs="宋体"/>
                <w:color w:val="000000"/>
                <w:kern w:val="0"/>
                <w:szCs w:val="21"/>
              </w:rPr>
            </w:pPr>
            <w:r>
              <w:rPr>
                <w:rFonts w:ascii="宋体" w:hAnsi="宋体" w:cs="宋体"/>
                <w:color w:val="000000"/>
                <w:kern w:val="0"/>
                <w:szCs w:val="21"/>
              </w:rPr>
              <w:t>3、4辆业务用车，管理全市近1000个站点费用6万元</w:t>
            </w:r>
          </w:p>
          <w:p>
            <w:pPr>
              <w:widowControl/>
              <w:jc w:val="left"/>
              <w:rPr>
                <w:rFonts w:ascii="宋体" w:hAnsi="宋体" w:cs="宋体"/>
                <w:color w:val="000000"/>
                <w:kern w:val="0"/>
                <w:szCs w:val="21"/>
              </w:rPr>
            </w:pPr>
            <w:r>
              <w:rPr>
                <w:rFonts w:ascii="宋体" w:hAnsi="宋体" w:cs="宋体"/>
                <w:color w:val="000000"/>
                <w:kern w:val="0"/>
                <w:szCs w:val="21"/>
              </w:rPr>
              <w:t>4、各部门聘用人员差旅费2万元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70100220GZX0008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办公楼水电暖费用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32.80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1、办公楼取暖费15.80万</w:t>
            </w:r>
          </w:p>
          <w:p>
            <w:pPr>
              <w:widowControl/>
              <w:jc w:val="left"/>
              <w:rPr>
                <w:rFonts w:ascii="宋体" w:hAnsi="宋体" w:cs="宋体"/>
                <w:color w:val="000000"/>
                <w:kern w:val="0"/>
                <w:szCs w:val="21"/>
              </w:rPr>
            </w:pPr>
            <w:r>
              <w:rPr>
                <w:rFonts w:ascii="宋体" w:hAnsi="宋体" w:cs="宋体"/>
                <w:color w:val="000000"/>
                <w:kern w:val="0"/>
                <w:szCs w:val="21"/>
              </w:rPr>
              <w:t>2、办公楼电费15万</w:t>
            </w:r>
          </w:p>
          <w:p>
            <w:pPr>
              <w:widowControl/>
              <w:jc w:val="left"/>
              <w:rPr>
                <w:rFonts w:ascii="宋体" w:hAnsi="宋体" w:cs="宋体"/>
                <w:color w:val="000000"/>
                <w:kern w:val="0"/>
                <w:szCs w:val="21"/>
              </w:rPr>
            </w:pPr>
            <w:r>
              <w:rPr>
                <w:rFonts w:ascii="宋体" w:hAnsi="宋体" w:cs="宋体"/>
                <w:color w:val="000000"/>
                <w:kern w:val="0"/>
                <w:szCs w:val="21"/>
              </w:rPr>
              <w:t>3、办公楼水费2万</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12"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Page \* MERGEFORMAT </w:instrText>
    </w:r>
    <w:r>
      <w:fldChar w:fldCharType="separate"/>
    </w:r>
    <w:r>
      <w:t>31</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B6463"/>
    <w:multiLevelType w:val="singleLevel"/>
    <w:tmpl w:val="341B64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08E2"/>
    <w:rsid w:val="000908E2"/>
    <w:rsid w:val="000D0FDD"/>
    <w:rsid w:val="0037128D"/>
    <w:rsid w:val="006F625D"/>
    <w:rsid w:val="008442FA"/>
    <w:rsid w:val="009A678D"/>
    <w:rsid w:val="00BC1009"/>
    <w:rsid w:val="00C24BFA"/>
    <w:rsid w:val="00C77BE0"/>
    <w:rsid w:val="00D23A9E"/>
    <w:rsid w:val="00DE3B26"/>
    <w:rsid w:val="55B9CF39"/>
    <w:rsid w:val="5FAC613B"/>
    <w:rsid w:val="73BF27E6"/>
    <w:rsid w:val="750D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4"/>
    </w:rPr>
  </w:style>
  <w:style w:type="paragraph" w:styleId="5">
    <w:name w:val="toc 1"/>
    <w:basedOn w:val="1"/>
    <w:next w:val="1"/>
    <w:unhideWhenUsed/>
    <w:qFormat/>
    <w:uiPriority w:val="39"/>
  </w:style>
  <w:style w:type="paragraph" w:styleId="6">
    <w:name w:val="Title"/>
    <w:basedOn w:val="1"/>
    <w:next w:val="1"/>
    <w:link w:val="12"/>
    <w:qFormat/>
    <w:uiPriority w:val="10"/>
    <w:pPr>
      <w:spacing w:before="240" w:after="60"/>
      <w:jc w:val="center"/>
      <w:outlineLvl w:val="0"/>
    </w:pPr>
    <w:rPr>
      <w:rFonts w:ascii="Cambria" w:hAnsi="Cambria" w:eastAsia="宋体" w:cs="Times New Roman"/>
      <w:b/>
      <w:bCs/>
      <w:sz w:val="32"/>
      <w:szCs w:val="32"/>
    </w:rPr>
  </w:style>
  <w:style w:type="character" w:styleId="9">
    <w:name w:val="Hyperlink"/>
    <w:basedOn w:val="8"/>
    <w:unhideWhenUsed/>
    <w:qFormat/>
    <w:uiPriority w:val="99"/>
    <w:rPr>
      <w:color w:val="0000FF" w:themeColor="hyperlink"/>
      <w:u w:val="single"/>
    </w:rPr>
  </w:style>
  <w:style w:type="character" w:customStyle="1" w:styleId="10">
    <w:name w:val="标题 1 Char"/>
    <w:basedOn w:val="8"/>
    <w:link w:val="2"/>
    <w:qFormat/>
    <w:uiPriority w:val="9"/>
    <w:rPr>
      <w:b/>
      <w:bCs/>
      <w:kern w:val="44"/>
      <w:sz w:val="44"/>
      <w:szCs w:val="44"/>
    </w:rPr>
  </w:style>
  <w:style w:type="character" w:customStyle="1" w:styleId="11">
    <w:name w:val="页眉 Char"/>
    <w:basedOn w:val="8"/>
    <w:link w:val="4"/>
    <w:qFormat/>
    <w:uiPriority w:val="99"/>
    <w:rPr>
      <w:rFonts w:ascii="Times New Roman" w:hAnsi="Times New Roman" w:eastAsia="宋体" w:cs="Times New Roman"/>
      <w:sz w:val="18"/>
      <w:szCs w:val="24"/>
    </w:rPr>
  </w:style>
  <w:style w:type="character" w:customStyle="1" w:styleId="12">
    <w:name w:val="标题 Char"/>
    <w:basedOn w:val="8"/>
    <w:link w:val="6"/>
    <w:qFormat/>
    <w:uiPriority w:val="10"/>
    <w:rPr>
      <w:rFonts w:ascii="Cambria" w:hAnsi="Cambria" w:eastAsia="宋体" w:cs="Times New Roman"/>
      <w:b/>
      <w:bCs/>
      <w:sz w:val="32"/>
      <w:szCs w:val="32"/>
    </w:rPr>
  </w:style>
  <w:style w:type="character" w:customStyle="1" w:styleId="13">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2449</Words>
  <Characters>13962</Characters>
  <Lines>116</Lines>
  <Paragraphs>32</Paragraphs>
  <TotalTime>33</TotalTime>
  <ScaleCrop>false</ScaleCrop>
  <LinksUpToDate>false</LinksUpToDate>
  <CharactersWithSpaces>16379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2020-01-02T15:27:00Z</dcterms:created>
  <dc:creator>tsczj</dc:creator>
  <cp:lastModifiedBy>user</cp:lastModifiedBy>
  <cp:lastPrinted>2020-01-02T15:10:00Z</cp:lastPrinted>
  <dcterms:modified xsi:type="dcterms:W3CDTF">2024-09-11T09:32:26Z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